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rFonts w:ascii="Cambria" w:hAnsi="Cambria"/>
          <w:color w:val="424242"/>
          <w:sz w:val="22"/>
          <w:szCs w:val="22"/>
        </w:rPr>
      </w:pPr>
      <w:r>
        <w:rPr>
          <w:rFonts w:ascii="Cambria" w:hAnsi="Cambria"/>
          <w:color w:val="424242"/>
          <w:sz w:val="22"/>
          <w:szCs w:val="22"/>
        </w:rPr>
      </w:r>
    </w:p>
    <w:p>
      <w:pPr>
        <w:pStyle w:val="Normal"/>
        <w:spacing w:before="0" w:after="200"/>
        <w:jc w:val="left"/>
        <w:rPr>
          <w:rFonts w:ascii="Cambria" w:hAnsi="Cambria"/>
          <w:color w:val="424242"/>
          <w:sz w:val="22"/>
          <w:szCs w:val="22"/>
        </w:rPr>
      </w:pPr>
      <w:r>
        <w:rPr>
          <w:rFonts w:ascii="Cambria" w:hAnsi="Cambria"/>
          <w:b/>
          <w:bCs/>
          <w:i/>
          <w:iCs/>
          <w:color w:val="424242"/>
          <w:sz w:val="22"/>
          <w:szCs w:val="22"/>
        </w:rPr>
        <w:t xml:space="preserve">1002- NORMATIVA APLICABLE A LA ENTIDAD </w:t>
      </w:r>
    </w:p>
    <w:p>
      <w:pPr>
        <w:pStyle w:val="Normal"/>
        <w:spacing w:before="0" w:after="200"/>
        <w:jc w:val="center"/>
        <w:rPr>
          <w:rFonts w:ascii="Cambria" w:hAnsi="Cambria"/>
          <w:color w:val="424242"/>
          <w:sz w:val="22"/>
          <w:szCs w:val="22"/>
        </w:rPr>
      </w:pPr>
      <w:r>
        <w:rPr>
          <w:rFonts w:ascii="Cambria" w:hAnsi="Cambria"/>
          <w:color w:val="424242"/>
          <w:sz w:val="22"/>
          <w:szCs w:val="22"/>
        </w:rPr>
      </w:r>
    </w:p>
    <w:p>
      <w:pPr>
        <w:pStyle w:val="Cuerpodetexto"/>
        <w:spacing w:before="0" w:after="200"/>
        <w:jc w:val="left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1.- Normativa básica del Estado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  <w:t> </w:t>
      </w: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La Ley  7/1985, de 2 de abril, Reguladora de las Bases del Régimen Local.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La Ley  40/2015, de 1 de octubre, de Régimen  Jurídico  del Sector Público.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La Ley 39/2015, de 1 de octubre, de Procedimiento Administrativo  Común de las Administraciones  Públicas.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La Ley  9/2017, de 8 de noviembre,  de Contratos del Sector Público.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Ley 19/2013, de 9 de diciembre, de transparencia, acceso a la información pública y buen gobierno.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  <w:t>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2.- Normativa autonómica: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Ley 8/2015, de 1 de abril, de Cabildos Insulares.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Ley 12/2014, de 26 de diciembre, de transparencia y de acceso a la información pública.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  <w:t>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3.- Normativa Insular: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Reglamento Orgánico de Gobierno y  Administración  del  Cabildo  Insular  de  Gran  Canaria  (en  adelante, ROGA), publicado en el BOP de 9-12-2016,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caps w:val="false"/>
          <w:smallCaps w:val="false"/>
          <w:color w:val="424242"/>
          <w:spacing w:val="0"/>
          <w:sz w:val="22"/>
          <w:szCs w:val="22"/>
        </w:rPr>
        <w:t>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4.- Normativa sectorial: </w:t>
      </w:r>
    </w:p>
    <w:p>
      <w:pPr>
        <w:pStyle w:val="Cuerpodetexto"/>
        <w:widowControl/>
        <w:spacing w:before="0" w:after="0"/>
        <w:ind w:left="0" w:right="0" w:hanging="0"/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424242"/>
          <w:spacing w:val="0"/>
          <w:sz w:val="22"/>
          <w:szCs w:val="22"/>
        </w:rPr>
        <w:t>Ley   7/1995,  de  6  de  abril,  de  Ordenación  del Turismo   de   Canarias.</w:t>
      </w:r>
    </w:p>
    <w:p>
      <w:pPr>
        <w:pStyle w:val="Normal"/>
        <w:spacing w:before="0" w:after="200"/>
        <w:jc w:val="center"/>
        <w:rPr>
          <w:rFonts w:ascii="Cambria" w:hAnsi="Cambria"/>
          <w:color w:val="424242"/>
          <w:sz w:val="22"/>
          <w:szCs w:val="22"/>
        </w:rPr>
      </w:pPr>
      <w:r>
        <w:rPr>
          <w:rFonts w:ascii="Cambria" w:hAnsi="Cambria"/>
          <w:color w:val="424242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LibreOffice/7.0.4.2$Windows_X86_64 LibreOffice_project/dcf040e67528d9187c66b2379df5ea4407429775</Application>
  <AppVersion>15.0000</AppVersion>
  <Pages>1</Pages>
  <Words>167</Words>
  <Characters>848</Characters>
  <CharactersWithSpaces>1039</CharactersWithSpaces>
  <Paragraphs>19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2022-06-20T12:56:57Z</dcterms:modified>
  <cp:revision>74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