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tenidodelmarco"/>
        <w:spacing w:before="0" w:after="160"/>
        <w:ind w:left="0" w:hanging="0"/>
        <w:jc w:val="both"/>
        <w:rPr>
          <w:u w:val="single"/>
        </w:rPr>
      </w:pPr>
      <w:r>
        <w:rPr>
          <w:u w:val="single"/>
        </w:rPr>
      </w:r>
    </w:p>
    <w:p>
      <w:pPr>
        <w:pStyle w:val="Normal"/>
        <w:spacing w:before="0" w:after="160"/>
        <w:ind w:left="0" w:hanging="0"/>
        <w:jc w:val="both"/>
        <w:rPr>
          <w:rFonts w:ascii="Cambria" w:hAnsi="Cambria"/>
          <w:b/>
          <w:b/>
          <w:bCs/>
          <w:sz w:val="26"/>
          <w:szCs w:val="26"/>
          <w:u w:val="single"/>
        </w:rPr>
      </w:pPr>
      <w:r>
        <w:rPr>
          <w:rFonts w:cs="Times New Roman"/>
          <w:b/>
          <w:bCs/>
          <w:sz w:val="26"/>
          <w:szCs w:val="26"/>
          <w:u w:val="single"/>
        </w:rPr>
        <w:t xml:space="preserve">BASES DE EJECUCIÓN PRESUPUESTARIA 2022- CABILDO DE GRAN CANARIA </w:t>
      </w:r>
    </w:p>
    <w:p>
      <w:pPr>
        <w:pStyle w:val="Normal"/>
        <w:jc w:val="both"/>
        <w:rPr>
          <w:rFonts w:ascii="Cambria" w:hAnsi="Cambria"/>
          <w:sz w:val="22"/>
          <w:szCs w:val="22"/>
        </w:rPr>
      </w:pPr>
      <w:r>
        <w:rPr>
          <w:rFonts w:cs="Times New Roman"/>
          <w:b/>
          <w:sz w:val="22"/>
          <w:szCs w:val="22"/>
        </w:rPr>
        <w:t xml:space="preserve">BASE 87.- Retribuciones de los Miembros de la Corporación </w:t>
      </w:r>
    </w:p>
    <w:p>
      <w:pPr>
        <w:pStyle w:val="Normal"/>
        <w:jc w:val="both"/>
        <w:rPr>
          <w:rFonts w:ascii="Cambria" w:hAnsi="Cambria"/>
          <w:sz w:val="22"/>
          <w:szCs w:val="22"/>
        </w:rPr>
      </w:pPr>
      <w:r>
        <w:rPr>
          <w:sz w:val="22"/>
          <w:szCs w:val="22"/>
        </w:rPr>
        <w:t>1. De conformidad con los artículos 75, 75 bis y 123.1.n) de la Ley 7/1985, de 2 de abril, Reguladora de las Bases del Régimen local, modificada en el particular por la Ley 27/2.013, de 27 de diciembre, de Racionalización y Sostenibilidad de la Administración local, y dentro de los límites al respecto contenidos en la correspondiente Ley de Presupuestos Generales del Estado, las retribuciones de que se trata serán las siguientes:</w:t>
      </w:r>
    </w:p>
    <w:p>
      <w:pPr>
        <w:pStyle w:val="Normal"/>
        <w:jc w:val="both"/>
        <w:rPr>
          <w:rFonts w:ascii="Cambria" w:hAnsi="Cambria"/>
          <w:sz w:val="22"/>
          <w:szCs w:val="22"/>
        </w:rPr>
      </w:pPr>
      <w:r>
        <w:rPr>
          <w:sz w:val="22"/>
          <w:szCs w:val="22"/>
        </w:rPr>
        <w:t xml:space="preserve">a) La Presidencia percibirá una retribución anual equivalente por todos los conceptos retributivos a la de un funcionario del Grupo A1, con nivel de complemento </w:t>
      </w:r>
      <w:r>
        <w:rPr>
          <w:rFonts w:cs="Times New Roman"/>
          <w:b w:val="false"/>
          <w:bCs w:val="false"/>
          <w:sz w:val="22"/>
          <w:szCs w:val="22"/>
        </w:rPr>
        <w:t>de destino</w:t>
      </w:r>
      <w:r>
        <w:rPr>
          <w:rFonts w:cs="Times New Roman"/>
          <w:b/>
          <w:sz w:val="22"/>
          <w:szCs w:val="22"/>
        </w:rPr>
        <w:t xml:space="preserve"> </w:t>
      </w:r>
      <w:r>
        <w:rPr>
          <w:rFonts w:cs="Times New Roman"/>
          <w:b w:val="false"/>
          <w:bCs w:val="false"/>
          <w:sz w:val="22"/>
          <w:szCs w:val="22"/>
        </w:rPr>
        <w:t>30 y complemento específico 125, más un 5%, dividido en 14</w:t>
      </w:r>
      <w:r>
        <w:rPr>
          <w:rFonts w:cs="Times New Roman"/>
          <w:b/>
          <w:sz w:val="22"/>
          <w:szCs w:val="22"/>
        </w:rPr>
        <w:t xml:space="preserve"> </w:t>
      </w:r>
      <w:r>
        <w:rPr>
          <w:sz w:val="22"/>
          <w:szCs w:val="22"/>
        </w:rPr>
        <w:t>mensualidades iguales cada una.</w:t>
      </w:r>
    </w:p>
    <w:p>
      <w:pPr>
        <w:pStyle w:val="Normal"/>
        <w:jc w:val="both"/>
        <w:rPr>
          <w:rFonts w:ascii="Cambria" w:hAnsi="Cambria"/>
          <w:sz w:val="22"/>
          <w:szCs w:val="22"/>
        </w:rPr>
      </w:pPr>
      <w:r>
        <w:rPr>
          <w:sz w:val="22"/>
          <w:szCs w:val="22"/>
        </w:rPr>
        <w:t>b) Los Vicepresidentes percibirán una retribución anual equivalente por todos los conceptos retributivos a la de un funcionario del Grupo A1, con nivel de complemento de destino 30 y complemento específico 125, dividido en 14 mensualidades iguales cada una.</w:t>
      </w:r>
    </w:p>
    <w:p>
      <w:pPr>
        <w:pStyle w:val="Normal"/>
        <w:jc w:val="both"/>
        <w:rPr>
          <w:rFonts w:ascii="Cambria" w:hAnsi="Cambria"/>
          <w:sz w:val="22"/>
          <w:szCs w:val="22"/>
        </w:rPr>
      </w:pPr>
      <w:r>
        <w:rPr>
          <w:sz w:val="22"/>
          <w:szCs w:val="22"/>
        </w:rPr>
        <w:t>c) Los Consejeros con Delegación que desempeñen un cargo efectivo percibirán una retribución anual correspondiente a la de un funcionario del Grupo A1, con nivel de complemento de destino 30 y complemento específico 110, dividido en 14 mensualidades iguales cada una.</w:t>
      </w:r>
    </w:p>
    <w:p>
      <w:pPr>
        <w:pStyle w:val="Normal"/>
        <w:jc w:val="both"/>
        <w:rPr>
          <w:rFonts w:ascii="Cambria" w:hAnsi="Cambria"/>
          <w:sz w:val="22"/>
          <w:szCs w:val="22"/>
        </w:rPr>
      </w:pPr>
      <w:r>
        <w:rPr>
          <w:sz w:val="22"/>
          <w:szCs w:val="22"/>
        </w:rPr>
        <w:t>d) Los Consejeros representantes de los Grupos Políticos de la oposición, propuestos por éstos, percibirán una retribución anual por todos los conceptos retributivos, equivalente a la de un funcionario del Grupo A1, con nivel de complemento de destino 29, y complemento específico 110, dividido en 14 mensualidades iguales cada una.</w:t>
      </w:r>
    </w:p>
    <w:p>
      <w:pPr>
        <w:pStyle w:val="Normal"/>
        <w:spacing w:lineRule="auto" w:line="240" w:before="120" w:after="120"/>
        <w:jc w:val="both"/>
        <w:rPr>
          <w:b w:val="false"/>
          <w:b w:val="false"/>
          <w:bCs w:val="false"/>
          <w:color w:val="000000"/>
          <w:u w:val="none"/>
        </w:rPr>
      </w:pPr>
      <w:r>
        <w:rPr>
          <w:b w:val="false"/>
          <w:bCs w:val="false"/>
          <w:color w:val="000000"/>
          <w:sz w:val="22"/>
          <w:szCs w:val="22"/>
          <w:u w:val="none"/>
        </w:rPr>
        <w:t>En el caso de que el Grupo Político de que se trate decida, al amparo del artículo 10.4 del vigente Reglamento Orgánico del Pleno, que la representación que le corresponda sea ejercida en régimen de dedicación parcial por dos integrantes del</w:t>
      </w:r>
      <w:r>
        <w:rPr>
          <w:rFonts w:cs="Times New Roman"/>
          <w:b w:val="false"/>
          <w:bCs w:val="false"/>
          <w:color w:val="000000"/>
          <w:sz w:val="22"/>
          <w:szCs w:val="22"/>
          <w:u w:val="none"/>
        </w:rPr>
        <w:t xml:space="preserve">Grupo, cada uno de ellos percibirá como retribución el 50% de la retribución anual </w:t>
      </w:r>
      <w:r>
        <w:rPr>
          <w:b w:val="false"/>
          <w:bCs w:val="false"/>
          <w:color w:val="000000"/>
          <w:sz w:val="22"/>
          <w:szCs w:val="22"/>
          <w:u w:val="none"/>
        </w:rPr>
        <w:t>bruta establecida en el párrafo precedente, dividida en 14 mensualidades iguales cada una, en cuyo caso el tiempo dededicación efectiva a las tareas propias de su cargo alcanzará el 50% de la jornada (4 horas/día).</w:t>
      </w:r>
    </w:p>
    <w:p>
      <w:pPr>
        <w:pStyle w:val="Normal"/>
        <w:jc w:val="both"/>
        <w:rPr>
          <w:b/>
          <w:b/>
          <w:bCs/>
        </w:rPr>
      </w:pPr>
      <w:r>
        <w:rPr>
          <w:b/>
          <w:bCs/>
          <w:sz w:val="22"/>
          <w:szCs w:val="22"/>
        </w:rPr>
        <w:t>e) Los Consejeros en régimen de dedicación exclusiva, los Coordinadores Generales, los Directores Generales, los Coordinadores Técnicos y los Directores Insulares, al causar baja en la entidad local, percibirán una paga adicional equivalente a una mensualidad. Esta indemnización, de conformidad con el artículo 1º del Real Decreto-ley 20/2012, de 13 de julio, será incompatible con cualquier retribución con cargo a los Presupuestos de las Administraciones Públicas, de los entes, organismos y empresas de ellos dependientes, o con cargo a los de los órganos constitucionales o que resulte de la aplicación de arancel; con cualquier retribución que provenga de  actividad privada, así como con la percepción de la pensión de jubilación o retiro por Derechos pasivos, o por cualquier régimen de Seguridad Social público y obligatorio.</w:t>
      </w:r>
    </w:p>
    <w:p>
      <w:pPr>
        <w:pStyle w:val="Normal"/>
        <w:jc w:val="both"/>
        <w:rPr>
          <w:b/>
          <w:b/>
          <w:bCs/>
        </w:rPr>
      </w:pPr>
      <w:r>
        <w:rPr>
          <w:b/>
          <w:bCs/>
          <w:sz w:val="22"/>
          <w:szCs w:val="22"/>
        </w:rPr>
        <w:t>Esta compensación económica estará condicionada a que los cargos se desempeñen en régimen de dedicación exclusiva, en los términos del apartado primero del artículo 75 de la Ley 7/85, de 2 de abril, y será exigible cuando no exista posibilidad de incorporación inmediata a cualquier puesto que dé lugar a las retribuciones antes mencionadas.</w:t>
      </w:r>
    </w:p>
    <w:p>
      <w:pPr>
        <w:pStyle w:val="Normal"/>
        <w:jc w:val="both"/>
        <w:rPr>
          <w:rFonts w:ascii="Cambria" w:hAnsi="Cambria"/>
          <w:sz w:val="22"/>
          <w:szCs w:val="22"/>
        </w:rPr>
      </w:pPr>
      <w:r>
        <w:rPr>
          <w:sz w:val="22"/>
          <w:szCs w:val="22"/>
        </w:rPr>
        <w:t>f) Los Coordinadores Generales y los Coordinadores Técnicos percibirán una retribución anual máxima correspondiente a la de un funcionario del Grupo A1, con nivel de complemento de destino 29 y complemento específico 105, dividido en 14 mensualidades iguales cada una.</w:t>
      </w:r>
    </w:p>
    <w:p>
      <w:pPr>
        <w:pStyle w:val="Normal"/>
        <w:jc w:val="both"/>
        <w:rPr>
          <w:rFonts w:ascii="Cambria" w:hAnsi="Cambria"/>
          <w:sz w:val="22"/>
          <w:szCs w:val="22"/>
        </w:rPr>
      </w:pPr>
      <w:r>
        <w:rPr>
          <w:sz w:val="22"/>
          <w:szCs w:val="22"/>
        </w:rPr>
        <w:t>g) Los Directores Generales y los Directores Insulares percibirán una retribución anual máxima correspondiente a la de un funcionario del Grupo A1, con nivel de complemento de destino 29 y complemento específico 100, dividido en 14 mensualidades iguales cada una.</w:t>
      </w:r>
    </w:p>
    <w:p>
      <w:pPr>
        <w:pStyle w:val="Normal"/>
        <w:jc w:val="both"/>
        <w:rPr>
          <w:rFonts w:ascii="Cambria" w:hAnsi="Cambria"/>
          <w:sz w:val="22"/>
          <w:szCs w:val="22"/>
        </w:rPr>
      </w:pPr>
      <w:r>
        <w:rPr>
          <w:sz w:val="22"/>
          <w:szCs w:val="22"/>
        </w:rPr>
        <w:t>h) El personal funcionario de carrera, titular de los puestos de trabajo reservados a funcionarios con habilitación de carácter nacional, así como el/la Titular y los Subdirectores/as de la Asesoría Jurídica que tienen la consideración de órganos directivos de la Organización General, percibirán las retribuciones que para los puestos de trabajo en cuestión figuran en la Relación de Puestos de Trabajo de la entidad.</w:t>
      </w:r>
    </w:p>
    <w:p>
      <w:pPr>
        <w:pStyle w:val="Normal"/>
        <w:jc w:val="both"/>
        <w:rPr>
          <w:rFonts w:ascii="Cambria" w:hAnsi="Cambria"/>
          <w:sz w:val="22"/>
          <w:szCs w:val="22"/>
        </w:rPr>
      </w:pPr>
      <w:r>
        <w:rPr>
          <w:sz w:val="22"/>
          <w:szCs w:val="22"/>
        </w:rPr>
        <w:t xml:space="preserve">i) Los gerentes, directores y demás personal directivo que se contraten en los Organismos Autónomos y Empresas Públicas y resto de entes dependientes </w:t>
      </w:r>
      <w:r>
        <w:rPr>
          <w:rFonts w:cs="Times New Roman"/>
          <w:b/>
          <w:sz w:val="22"/>
          <w:szCs w:val="22"/>
        </w:rPr>
        <w:t xml:space="preserve">o </w:t>
      </w:r>
      <w:r>
        <w:rPr>
          <w:sz w:val="22"/>
          <w:szCs w:val="22"/>
        </w:rPr>
        <w:t>participados vinculados al Cabildo de Gran Canaria, no podrán percibir retribuciones, en cómputo anual, superiores a las de un Consejero de la Corporación.</w:t>
      </w:r>
    </w:p>
    <w:p>
      <w:pPr>
        <w:pStyle w:val="Normal"/>
        <w:jc w:val="both"/>
        <w:rPr>
          <w:rFonts w:ascii="Cambria" w:hAnsi="Cambria"/>
          <w:sz w:val="22"/>
          <w:szCs w:val="22"/>
        </w:rPr>
      </w:pPr>
      <w:r>
        <w:rPr>
          <w:sz w:val="22"/>
          <w:szCs w:val="22"/>
        </w:rPr>
        <w:t>2. Aquellos miembros de la Corporación que se encuentren en situación de excedencia forzosa en su administración de procedencia, percibirán los trienios que les correspondan, previa acreditación documental de los mismos y siempre que no la perciban en aquella administración.</w:t>
      </w:r>
    </w:p>
    <w:p>
      <w:pPr>
        <w:pStyle w:val="Normal"/>
        <w:jc w:val="both"/>
        <w:rPr>
          <w:rFonts w:ascii="Cambria" w:hAnsi="Cambria"/>
          <w:sz w:val="22"/>
          <w:szCs w:val="22"/>
        </w:rPr>
      </w:pPr>
      <w:r>
        <w:rPr>
          <w:rFonts w:cs="Times New Roman"/>
          <w:b w:val="false"/>
          <w:bCs w:val="false"/>
          <w:sz w:val="22"/>
          <w:szCs w:val="22"/>
        </w:rPr>
        <w:t xml:space="preserve">3. Las anteriores retribuciones se percibirán sin perjuicio de los acuerdos </w:t>
      </w:r>
      <w:r>
        <w:rPr>
          <w:sz w:val="22"/>
          <w:szCs w:val="22"/>
        </w:rPr>
        <w:t>corporativos adoptados o que pudieran adoptarse con respecto a las mismas y de conformidad en cualquier caso con el marco legal que, de forma sobrevenida, pudiera resultar de aplicación.</w:t>
      </w:r>
    </w:p>
    <w:p>
      <w:pPr>
        <w:pStyle w:val="Normal"/>
        <w:spacing w:lineRule="auto" w:line="240" w:before="120" w:after="120"/>
        <w:jc w:val="both"/>
        <w:rPr>
          <w:b w:val="false"/>
          <w:b w:val="false"/>
          <w:bCs w:val="false"/>
          <w:color w:val="000000"/>
          <w:u w:val="none"/>
        </w:rPr>
      </w:pPr>
      <w:r>
        <w:rPr>
          <w:b w:val="false"/>
          <w:bCs w:val="false"/>
          <w:color w:val="000000"/>
          <w:sz w:val="22"/>
          <w:szCs w:val="22"/>
          <w:u w:val="none"/>
        </w:rPr>
        <w:t>4. En el caso de que las personas nombradas como Coordinadores Generales,Coordinadores Técnicos, Directores Generales o Directores Insulares sean funcionarios de carrera con un grado consolidado nivel 30 tendrán derecho a percibir la cuantía del complemento de destino correspondiente al nivel de grado consolidado.</w:t>
      </w:r>
    </w:p>
    <w:sectPr>
      <w:headerReference w:type="default" r:id="rId2"/>
      <w:footerReference w:type="default" r:id="rId3"/>
      <w:type w:val="nextPage"/>
      <w:pgSz w:w="11906" w:h="16838"/>
      <w:pgMar w:left="1134" w:right="1701" w:header="708" w:top="2836" w:footer="708"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Trebuchet MS" w:hAnsi="Trebuchet MS"/>
        <w:color w:val="7F7F7F" w:themeColor="text1" w:themeTint="80"/>
        <w:sz w:val="16"/>
      </w:rPr>
    </w:pPr>
    <w:r>
      <w:rPr>
        <w:rFonts w:ascii="Trebuchet MS" w:hAnsi="Trebuchet MS"/>
        <w:color w:val="7F7F7F" w:themeColor="text1" w:themeTint="80"/>
        <w:sz w:val="16"/>
      </w:rPr>
      <w:t xml:space="preserve">Triana 93. C.P.35002 - Las Palmas de Gran Canaria. Tlf.: 928 21 96 00. Fax: 928 21 96 01   </w:t>
    </w:r>
  </w:p>
  <w:p>
    <w:pPr>
      <w:pStyle w:val="Piedepgina"/>
      <w:jc w:val="center"/>
      <w:rPr>
        <w:rFonts w:ascii="Trebuchet MS" w:hAnsi="Trebuchet MS"/>
        <w:b/>
        <w:b/>
        <w:color w:val="7F7F7F" w:themeColor="text1" w:themeTint="80"/>
        <w:sz w:val="16"/>
      </w:rPr>
    </w:pPr>
    <w:r>
      <w:rPr>
        <w:rFonts w:ascii="Trebuchet MS" w:hAnsi="Trebuchet MS"/>
        <w:b/>
        <w:color w:val="7F7F7F" w:themeColor="text1" w:themeTint="80"/>
        <w:sz w:val="16"/>
      </w:rPr>
      <w:t>www.grancanaria.com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1" distT="0" distB="0" distL="0" distR="0" simplePos="0" locked="0" layoutInCell="0" allowOverlap="1" relativeHeight="3">
          <wp:simplePos x="0" y="0"/>
          <wp:positionH relativeFrom="column">
            <wp:posOffset>-12700</wp:posOffset>
          </wp:positionH>
          <wp:positionV relativeFrom="paragraph">
            <wp:posOffset>-65405</wp:posOffset>
          </wp:positionV>
          <wp:extent cx="2493010" cy="11353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493010" cy="1135380"/>
                  </a:xfrm>
                  <a:prstGeom prst="rect">
                    <a:avLst/>
                  </a:prstGeom>
                </pic:spPr>
              </pic:pic>
            </a:graphicData>
          </a:graphic>
        </wp:anchor>
      </w:drawing>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5"/>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s-ES_tradn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f4546"/>
    <w:pPr>
      <w:widowControl/>
      <w:suppressAutoHyphens w:val="true"/>
      <w:bidi w:val="0"/>
      <w:spacing w:before="0" w:after="200"/>
      <w:jc w:val="left"/>
    </w:pPr>
    <w:rPr>
      <w:rFonts w:ascii="Cambria" w:hAnsi="Cambria" w:eastAsia="Cambria" w:cs="" w:asciiTheme="minorHAnsi" w:cstheme="minorBidi" w:eastAsiaTheme="minorHAnsi" w:hAnsiTheme="minorHAnsi"/>
      <w:color w:val="auto"/>
      <w:kern w:val="0"/>
      <w:sz w:val="24"/>
      <w:szCs w:val="24"/>
      <w:lang w:val="es-ES_tradnl" w:eastAsia="en-US" w:bidi="ar-SA"/>
    </w:rPr>
  </w:style>
  <w:style w:type="paragraph" w:styleId="Ttulo1">
    <w:name w:val="Heading 1"/>
    <w:basedOn w:val="ListParagraph"/>
    <w:next w:val="Normal"/>
    <w:qFormat/>
    <w:pPr>
      <w:numPr>
        <w:ilvl w:val="0"/>
        <w:numId w:val="1"/>
      </w:numPr>
      <w:outlineLvl w:val="0"/>
    </w:pPr>
    <w:rPr>
      <w:b/>
      <w:bCs/>
      <w:sz w:val="22"/>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224206"/>
    <w:rPr/>
  </w:style>
  <w:style w:type="character" w:styleId="PiedepginaCar" w:customStyle="1">
    <w:name w:val="Pie de página Car"/>
    <w:basedOn w:val="DefaultParagraphFont"/>
    <w:link w:val="Piedepgina"/>
    <w:uiPriority w:val="99"/>
    <w:semiHidden/>
    <w:qFormat/>
    <w:rsid w:val="00224206"/>
    <w:rPr/>
  </w:style>
  <w:style w:type="character" w:styleId="TextodegloboCar" w:customStyle="1">
    <w:name w:val="Texto de globo Car"/>
    <w:basedOn w:val="DefaultParagraphFont"/>
    <w:link w:val="Textodeglobo"/>
    <w:uiPriority w:val="99"/>
    <w:semiHidden/>
    <w:qFormat/>
    <w:rsid w:val="00a54886"/>
    <w:rPr>
      <w:rFonts w:ascii="Tahoma" w:hAnsi="Tahoma" w:cs="Tahoma"/>
      <w:sz w:val="16"/>
      <w:szCs w:val="16"/>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semiHidden/>
    <w:unhideWhenUsed/>
    <w:rsid w:val="00224206"/>
    <w:pPr>
      <w:tabs>
        <w:tab w:val="clear" w:pos="720"/>
        <w:tab w:val="center" w:pos="4252" w:leader="none"/>
        <w:tab w:val="right" w:pos="8504" w:leader="none"/>
      </w:tabs>
      <w:spacing w:before="0" w:after="0"/>
    </w:pPr>
    <w:rPr/>
  </w:style>
  <w:style w:type="paragraph" w:styleId="Piedepgina">
    <w:name w:val="Footer"/>
    <w:basedOn w:val="Normal"/>
    <w:link w:val="PiedepginaCar"/>
    <w:uiPriority w:val="99"/>
    <w:semiHidden/>
    <w:unhideWhenUsed/>
    <w:rsid w:val="00224206"/>
    <w:pPr>
      <w:tabs>
        <w:tab w:val="clear" w:pos="720"/>
        <w:tab w:val="center" w:pos="4252" w:leader="none"/>
        <w:tab w:val="right" w:pos="8504" w:leader="none"/>
      </w:tabs>
      <w:spacing w:before="0" w:after="0"/>
    </w:pPr>
    <w:rPr/>
  </w:style>
  <w:style w:type="paragraph" w:styleId="BalloonText">
    <w:name w:val="Balloon Text"/>
    <w:basedOn w:val="Normal"/>
    <w:link w:val="TextodegloboCar"/>
    <w:uiPriority w:val="99"/>
    <w:semiHidden/>
    <w:unhideWhenUsed/>
    <w:qFormat/>
    <w:rsid w:val="00a54886"/>
    <w:pPr>
      <w:spacing w:before="0" w:after="0"/>
    </w:pPr>
    <w:rPr>
      <w:rFonts w:ascii="Tahoma" w:hAnsi="Tahoma" w:cs="Tahoma"/>
      <w:sz w:val="16"/>
      <w:szCs w:val="16"/>
    </w:rPr>
  </w:style>
  <w:style w:type="paragraph" w:styleId="Contenidodelmarco">
    <w:name w:val="Contenido del marco"/>
    <w:basedOn w:val="Normal"/>
    <w:qFormat/>
    <w:pPr/>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46F5E3C5062042BDA8EF8230CDCA9B" ma:contentTypeVersion="13" ma:contentTypeDescription="Crear nuevo documento." ma:contentTypeScope="" ma:versionID="b1ddf6539e5270fab54c0fe5c3b35b52">
  <xsd:schema xmlns:xsd="http://www.w3.org/2001/XMLSchema" xmlns:xs="http://www.w3.org/2001/XMLSchema" xmlns:p="http://schemas.microsoft.com/office/2006/metadata/properties" xmlns:ns2="92b5c92d-5161-49f1-892d-54726f61b4e8" xmlns:ns3="c66de0d1-0e7f-4930-84f4-18caa452098e" targetNamespace="http://schemas.microsoft.com/office/2006/metadata/properties" ma:root="true" ma:fieldsID="3014012666a18a89edb5b3d9fb978adb" ns2:_="" ns3:_="">
    <xsd:import namespace="92b5c92d-5161-49f1-892d-54726f61b4e8"/>
    <xsd:import namespace="c66de0d1-0e7f-4930-84f4-18caa45209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5c92d-5161-49f1-892d-54726f61b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e0d1-0e7f-4930-84f4-18caa452098e"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C9AB1-CC5E-42E6-A6A0-CD6CEFB635AD}"/>
</file>

<file path=customXml/itemProps2.xml><?xml version="1.0" encoding="utf-8"?>
<ds:datastoreItem xmlns:ds="http://schemas.openxmlformats.org/officeDocument/2006/customXml" ds:itemID="{69321F5A-6382-4C92-AF10-AA97825FEFE5}"/>
</file>

<file path=customXml/itemProps3.xml><?xml version="1.0" encoding="utf-8"?>
<ds:datastoreItem xmlns:ds="http://schemas.openxmlformats.org/officeDocument/2006/customXml" ds:itemID="{4752FC13-776E-40CB-A463-21CE6DC12189}">
  <ds:schemaRefs>
    <ds:schemaRef ds:uri="http://schemas.openxmlformats.org/officeDocument/2006/bibliography"/>
  </ds:schemaRefs>
</ds:datastoreItem>
</file>

<file path=customXml/itemProps4.xml><?xml version="1.0" encoding="utf-8"?>
<ds:datastoreItem xmlns:ds="http://schemas.openxmlformats.org/officeDocument/2006/customXml" ds:itemID="{3A2645AF-5F31-42D5-A2B0-3CD013EE078C}"/>
</file>

<file path=docProps/app.xml><?xml version="1.0" encoding="utf-8"?>
<Properties xmlns="http://schemas.openxmlformats.org/officeDocument/2006/extended-properties" xmlns:vt="http://schemas.openxmlformats.org/officeDocument/2006/docPropsVTypes">
  <Template>Normal</Template>
  <TotalTime>160</TotalTime>
  <Application>LibreOffice/7.0.4.2$Windows_X86_64 LibreOffice_project/dcf040e67528d9187c66b2379df5ea4407429775</Application>
  <AppVersion>15.0000</AppVersion>
  <Pages>2</Pages>
  <Words>865</Words>
  <Characters>4752</Characters>
  <CharactersWithSpaces>5604</CharactersWithSpaces>
  <Paragraphs>19</Paragraphs>
  <Company>RguezFajardo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2021-01-19T04:57:00Z</dcterms:created>
  <dc:creator>THR</dc:creator>
  <dc:description/>
  <dc:language>es-ES</dc:language>
  <cp:lastModifiedBy/>
  <cp:lastPrinted>2023-09-25T11:00:05Z</cp:lastPrinted>
  <dcterms:modified xsi:type="dcterms:W3CDTF">2023-10-19T12:26:03Z</dcterms:modified>
  <cp:revision>94</cp:revision>
  <dc:subject/>
  <dc:title>PowerPoint Presentation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0x0101002846F5E3C5062042BDA8EF8230CDCA9B</vt:lpwstr>
  </property>
  <property fmtid="{D5CDD505-2E9C-101B-9397-08002B2CF9AE}" pid="3" name="HyperlinksChanged">
    <vt:bool>0</vt:bool>
  </property>
  <property fmtid="{D5CDD505-2E9C-101B-9397-08002B2CF9AE}" pid="4" name="LinksUpToDate">
    <vt:bool>0</vt:bool>
  </property>
  <property fmtid="{D5CDD505-2E9C-101B-9397-08002B2CF9AE}" pid="5" name="Order">
    <vt:i4>20600</vt:i4>
  </property>
  <property fmtid="{D5CDD505-2E9C-101B-9397-08002B2CF9AE}" pid="6" name="ScaleCrop">
    <vt:bool>0</vt:bool>
  </property>
  <property fmtid="{D5CDD505-2E9C-101B-9397-08002B2CF9AE}" pid="7" name="ShareDoc">
    <vt:bool>0</vt:bool>
  </property>
</Properties>
</file>