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ACLARACIÓN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1135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Denominación y descripción de la obra; importe de su ejecución, diferenciando el presupuesto inicial de cada una de las modificaciones o revisiones posteriores; administraciones, organismos o entidades que la financian, incluyendo el importe que les corresponde; persona o entidad adjudicataria de la ejecución material; fecha de inicio y conclusión, prórrogas o ampliaciones del plazo de ejecución; penalizaciones impuestas por incumplimientos del/de la contratista; administración titular de la obra ejecutada y, en su caso, del mantenimiento posterior de la misma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2022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: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No hay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104</Words>
  <Characters>602</Characters>
  <CharactersWithSpaces>706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2023-10-20T13:34:45Z</dcterms:modified>
  <cp:revision>115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