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both"/>
        <w:rPr>
          <w:rFonts w:ascii="Cambria" w:hAnsi="Cambr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spacing w:lineRule="auto" w:line="240" w:before="0" w:after="20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ACLARACIÓN </w:t>
      </w:r>
    </w:p>
    <w:p>
      <w:pPr>
        <w:pStyle w:val="Normal"/>
        <w:spacing w:lineRule="auto" w:line="240" w:before="0" w:after="200"/>
        <w:jc w:val="both"/>
        <w:rPr>
          <w:rFonts w:ascii="Cambria" w:hAnsi="Cambri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EJERCICIO 2022- PRIMER SEMESTRE 2023</w:t>
      </w:r>
    </w:p>
    <w:p>
      <w:pPr>
        <w:pStyle w:val="Normal"/>
        <w:spacing w:lineRule="auto" w:line="240" w:before="0" w:after="20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1104- Gastos de personal y su porcentaje sobre el gasto total.</w:t>
      </w:r>
    </w:p>
    <w:p>
      <w:pPr>
        <w:pStyle w:val="Normal"/>
        <w:spacing w:lineRule="auto" w:line="240" w:before="0" w:after="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CAPITULO I : GASTOS DE PERSONAL  AÑO  2022</w:t>
      </w:r>
    </w:p>
    <w:p>
      <w:pPr>
        <w:pStyle w:val="Normal"/>
        <w:spacing w:lineRule="auto" w:line="240" w:before="0" w:after="200"/>
        <w:jc w:val="both"/>
        <w:rPr>
          <w:rFonts w:ascii="Cambria" w:hAnsi="Cambri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La suma total de los gastos de personal asciende a la cantidad de 3.367.912,64 euros, </w:t>
      </w:r>
      <w:r>
        <w:rPr>
          <w:color w:val="000000"/>
          <w:sz w:val="18"/>
          <w:szCs w:val="18"/>
        </w:rPr>
        <w:t xml:space="preserve">lo que supone un incremento del 2,95%, como consecuencia del incremento de los salarios de los empleados públicos del 0,9% que se hizo efectivo en el ejercicio del 2021 pero que no se había dotado y, además se ha previsto el incremento del 2% para el próximo ejercicio, según previsiones del Estado. </w:t>
      </w:r>
    </w:p>
    <w:p>
      <w:pPr>
        <w:pStyle w:val="Normal"/>
        <w:spacing w:lineRule="auto" w:line="240" w:before="0" w:after="200"/>
        <w:jc w:val="both"/>
        <w:rPr>
          <w:rFonts w:ascii="Cambria" w:hAnsi="Cambri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La cifra supone el 20,40% del total del presupuesto</w:t>
      </w:r>
      <w:r>
        <w:rPr>
          <w:color w:val="000000"/>
          <w:sz w:val="18"/>
          <w:szCs w:val="18"/>
        </w:rPr>
        <w:t xml:space="preserve"> y el 44,74% de los gastos corrientes del presupuesto.</w:t>
      </w:r>
    </w:p>
    <w:p>
      <w:pPr>
        <w:pStyle w:val="Normal"/>
        <w:spacing w:lineRule="auto" w:line="240" w:before="0" w:after="200"/>
        <w:jc w:val="both"/>
        <w:rPr>
          <w:b/>
          <w:b/>
          <w:bCs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CAPITULO I : GASTOS DE PERSONAL  AÑO  2023 </w:t>
      </w:r>
    </w:p>
    <w:p>
      <w:pPr>
        <w:pStyle w:val="Normal"/>
        <w:spacing w:lineRule="auto" w:line="240" w:before="0" w:after="200"/>
        <w:jc w:val="both"/>
        <w:rPr>
          <w:rFonts w:ascii="Cambria" w:hAnsi="Cambri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La suma total de los gastos de personal asciende a la cantidad de 3.452.110,45 euros,</w:t>
      </w:r>
      <w:r>
        <w:rPr>
          <w:color w:val="000000"/>
          <w:sz w:val="18"/>
          <w:szCs w:val="18"/>
        </w:rPr>
        <w:t xml:space="preserve"> lo que supone un incremento del 2,50%, como consecuencia del incremento de los salarios de los empleados públicos del 2,50%  para el próximo ejercicio, según previsiones del Estado. </w:t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</w:rPr>
      </w:pPr>
      <w:r>
        <w:rPr>
          <w:b/>
          <w:bCs/>
          <w:color w:val="000000"/>
          <w:sz w:val="18"/>
          <w:szCs w:val="18"/>
        </w:rPr>
        <w:t xml:space="preserve">La cifra supone el 18,23% del total del presupuesto </w:t>
      </w:r>
      <w:r>
        <w:rPr>
          <w:b w:val="false"/>
          <w:bCs w:val="false"/>
          <w:color w:val="000000"/>
          <w:sz w:val="18"/>
          <w:szCs w:val="18"/>
        </w:rPr>
        <w:t>y el 42,98% de los gastos corrientes del presupuesto.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5">
    <w:name w:val="Heading 5"/>
    <w:basedOn w:val="Ttulo"/>
    <w:next w:val="Cue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LibreOffice/7.0.4.2$Windows_X86_64 LibreOffice_project/dcf040e67528d9187c66b2379df5ea4407429775</Application>
  <AppVersion>15.0000</AppVersion>
  <Pages>1</Pages>
  <Words>199</Words>
  <Characters>968</Characters>
  <CharactersWithSpaces>1168</CharactersWithSpaces>
  <Paragraphs>11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2023-02-24T12:37:59Z</cp:lastPrinted>
  <dcterms:modified xsi:type="dcterms:W3CDTF">2024-02-07T14:02:40Z</dcterms:modified>
  <cp:revision>99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