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11-OBRAS PÚBLICAS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1135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Denominación y descripción de la obra; importe de su ejecución, diferenciando el presupuesto inicial de cada una de las modificaciones o revisiones posteriores; administraciones, organismos o entidades que la financian, incluyendo el importe que les corresponde; persona o entidad adjudicataria de la ejecución material; fecha de inicio y conclusión, prórrogas o ampliaciones del plazo de ejecución; penalizaciones impuestas por incumplimientos del/de la contratista; administración titular de la obra ejecutada y, en su caso, del mantenimiento posterior de la misma  ejercicio 2022- primer semestre 2023 :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No hay actividad.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LibreOffice/7.0.4.2$Windows_X86_64 LibreOffice_project/dcf040e67528d9187c66b2379df5ea4407429775</Application>
  <AppVersion>15.0000</AppVersion>
  <Pages>1</Pages>
  <Words>112</Words>
  <Characters>656</Characters>
  <CharactersWithSpaces>767</CharactersWithSpaces>
  <Paragraphs>5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2024-02-08T09:18:36Z</dcterms:modified>
  <cp:revision>119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