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ACLARACIÓN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1178- Servicio público objeto de la concesión administrativa; identificación del concesionario; plazo de la concesión, régimen de financiación y condiciones de prestación del servicio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durante los años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2022-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2023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: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No hay </w:t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Contenidodelmarco"/>
        <w:spacing w:before="0" w:after="160"/>
        <w:ind w:left="0" w:hanging="0"/>
        <w:jc w:val="both"/>
        <w:rPr>
          <w:rFonts w:ascii="Cambria" w:hAnsi="Cambria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Muydestacado">
    <w:name w:val="Muy destacado"/>
    <w:qFormat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LibreOffice/7.0.4.2$Windows_X86_64 LibreOffice_project/dcf040e67528d9187c66b2379df5ea4407429775</Application>
  <AppVersion>15.0000</AppVersion>
  <Pages>1</Pages>
  <Words>52</Words>
  <Characters>288</Characters>
  <CharactersWithSpaces>340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2023-05-12T09:49:26Z</cp:lastPrinted>
  <dcterms:modified xsi:type="dcterms:W3CDTF">2024-02-19T15:33:25Z</dcterms:modified>
  <cp:revision>116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