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>
          <w:color w:val="424242"/>
          <w:sz w:val="22"/>
          <w:szCs w:val="22"/>
        </w:rPr>
      </w:r>
    </w:p>
    <w:p>
      <w:pPr>
        <w:pStyle w:val="Normal"/>
        <w:spacing w:before="0" w:after="200"/>
        <w:jc w:val="left"/>
        <w:rPr>
          <w:rFonts w:ascii="Cambria" w:hAnsi="Cambria"/>
          <w:color w:val="424242"/>
          <w:sz w:val="22"/>
          <w:szCs w:val="22"/>
        </w:rPr>
      </w:pPr>
      <w:r>
        <w:rPr>
          <w:b/>
          <w:bCs/>
          <w:i/>
          <w:iCs/>
          <w:color w:val="424242"/>
          <w:sz w:val="22"/>
          <w:szCs w:val="22"/>
        </w:rPr>
        <w:t xml:space="preserve">1002- NORMATIVA APLICABLE A LA ENTIDAD </w:t>
      </w:r>
    </w:p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>
          <w:color w:val="424242"/>
          <w:sz w:val="22"/>
          <w:szCs w:val="22"/>
        </w:rPr>
      </w:r>
    </w:p>
    <w:p>
      <w:pPr>
        <w:pStyle w:val="Cuerpodetexto"/>
        <w:spacing w:before="0" w:after="20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1.- Normativa básica del Estado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7/1985, de 2 de abril, Reguladora de las Bases del Régimen Local.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40/2015, de 1 de octubre, de Régimen  Jurídico  del Sector Público.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 39/2015, de 1 de octubre, de Procedimiento Administrativo  Común de las Administraciones  Públicas.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9/2017, de 8 de noviembre,  de Contratos del Sector Público.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19/2013, de 9 de diciembre, de transparencia, acceso a la información pública y buen gobierno.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2.- Normativa autonómica: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8/2015, de 1 de abril, de Cabildos Insulares.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12/2014, de 26 de diciembre, de transparencia y de acceso a la información pública.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3.- Normativa Insular: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 xml:space="preserve">Reglamento Orgánico de Gobierno y  Administración  del  Cabildo  Insular  de  Gran  Canaria  (en  adelante, ROGA), publicado en el BOP </w:t>
      </w: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el 12 de abril 2024.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4.- Normativa sectorial: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   7/1995,  de  6  de  abril,  de  Ordenación  del Turismo   de   Canarias.</w:t>
      </w:r>
    </w:p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LibreOffice/7.0.4.2$Windows_X86_64 LibreOffice_project/dcf040e67528d9187c66b2379df5ea4407429775</Application>
  <AppVersion>15.0000</AppVersion>
  <Pages>1</Pages>
  <Words>170</Words>
  <Characters>852</Characters>
  <CharactersWithSpaces>1045</CharactersWithSpaces>
  <Paragraphs>19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2025-04-03T13:04:46Z</dcterms:modified>
  <cp:revision>76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