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xmlns:wp14="http://schemas.microsoft.com/office/word/2010/wordml" w:rsidR="00E607AB" w:rsidP="040D4F1B" w:rsidRDefault="00E607AB" w14:paraId="672A6659" wp14:textId="01192771">
      <w:pPr>
        <w:pStyle w:val="Nombre"/>
        <w:jc w:val="left"/>
        <w:rPr>
          <w:noProof w:val="0"/>
          <w:sz w:val="18"/>
          <w:szCs w:val="18"/>
          <w:lang w:val="es-ES"/>
        </w:rPr>
      </w:pPr>
      <w:r>
        <w:br/>
      </w:r>
      <w:r w:rsidRPr="040D4F1B" w:rsidR="6C9483D3">
        <w:rPr>
          <w:rFonts w:ascii="Cambria" w:hAnsi="Cambria" w:eastAsia="Cambria" w:cs="Cambria"/>
          <w:b w:val="0"/>
          <w:bCs w:val="0"/>
          <w:i w:val="0"/>
          <w:iCs w:val="0"/>
          <w:caps w:val="1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>Aclaración:</w:t>
      </w: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5941"/>
        <w:gridCol w:w="1319"/>
      </w:tblGrid>
      <w:tr xmlns:wp14="http://schemas.microsoft.com/office/word/2010/wordml" w:rsidR="00000000" w:rsidTr="040D4F1B" w14:paraId="0A37501D" wp14:textId="77777777">
        <w:tc>
          <w:tcPr>
            <w:tcW w:w="8869" w:type="dxa"/>
            <w:gridSpan w:val="3"/>
            <w:shd w:val="clear" w:color="auto" w:fill="auto"/>
            <w:tcMar/>
          </w:tcPr>
          <w:p w:rsidR="00E607AB" w:rsidRDefault="00E607AB" w14:paraId="5DAB6C7B" wp14:textId="77777777">
            <w:pPr>
              <w:pStyle w:val="Direccin2"/>
              <w:widowControl w:val="0"/>
              <w:snapToGrid w:val="0"/>
            </w:pPr>
          </w:p>
        </w:tc>
      </w:tr>
      <w:tr xmlns:wp14="http://schemas.microsoft.com/office/word/2010/wordml" w:rsidR="00000000" w:rsidTr="040D4F1B" w14:paraId="02EB378F" wp14:textId="77777777">
        <w:tc>
          <w:tcPr>
            <w:tcW w:w="8869" w:type="dxa"/>
            <w:gridSpan w:val="3"/>
            <w:shd w:val="clear" w:color="auto" w:fill="auto"/>
            <w:tcMar/>
          </w:tcPr>
          <w:p w:rsidR="00E607AB" w:rsidRDefault="00E607AB" w14:paraId="6A05A809" wp14:textId="77777777">
            <w:pPr>
              <w:pStyle w:val="Direccin1"/>
              <w:widowControl w:val="0"/>
              <w:snapToGrid w:val="0"/>
            </w:pPr>
          </w:p>
        </w:tc>
      </w:tr>
      <w:tr xmlns:wp14="http://schemas.microsoft.com/office/word/2010/wordml" w:rsidR="00000000" w:rsidTr="040D4F1B" w14:paraId="3053B337" wp14:textId="77777777">
        <w:trPr>
          <w:trHeight w:val="1448"/>
        </w:trPr>
        <w:tc>
          <w:tcPr>
            <w:tcW w:w="7550" w:type="dxa"/>
            <w:gridSpan w:val="2"/>
            <w:shd w:val="clear" w:color="auto" w:fill="auto"/>
            <w:tcMar/>
            <w:vAlign w:val="center"/>
          </w:tcPr>
          <w:p w:rsidR="00E607AB" w:rsidP="040D4F1B" w:rsidRDefault="00E607AB" w14:paraId="0B3B8E6E" wp14:textId="77777777">
            <w:pPr>
              <w:pStyle w:val="Nombre"/>
              <w:widowControl w:val="0"/>
              <w:spacing w:before="120" w:after="120" w:line="240" w:lineRule="auto"/>
              <w:rPr>
                <w:b w:val="1"/>
                <w:bCs w:val="1"/>
                <w:sz w:val="26"/>
                <w:szCs w:val="26"/>
              </w:rPr>
            </w:pPr>
            <w:r w:rsidRPr="040D4F1B" w:rsidR="7AE5E927">
              <w:rPr>
                <w:b w:val="1"/>
                <w:bCs w:val="1"/>
                <w:sz w:val="26"/>
                <w:szCs w:val="26"/>
              </w:rPr>
              <w:t>PABLO LLINARES DE BETHENCOURT</w:t>
            </w:r>
          </w:p>
        </w:tc>
        <w:tc>
          <w:tcPr>
            <w:tcW w:w="1319" w:type="dxa"/>
            <w:shd w:val="clear" w:color="auto" w:fill="auto"/>
            <w:tcMar/>
          </w:tcPr>
          <w:p w:rsidR="00E607AB" w:rsidP="040D4F1B" w:rsidRDefault="00E607AB" w14:paraId="5A39BBE3" wp14:textId="77777777">
            <w:pPr>
              <w:pStyle w:val="Direccin1"/>
              <w:widowControl w:val="0"/>
              <w:spacing w:line="240" w:lineRule="auto"/>
              <w:rPr>
                <w:rFonts w:eastAsia="Garamond"/>
              </w:rPr>
            </w:pPr>
          </w:p>
        </w:tc>
      </w:tr>
      <w:tr xmlns:wp14="http://schemas.microsoft.com/office/word/2010/wordml" w:rsidR="00000000" w:rsidTr="040D4F1B" w14:paraId="41C8F396" wp14:textId="77777777">
        <w:trPr>
          <w:trHeight w:val="68"/>
        </w:trPr>
        <w:tc>
          <w:tcPr>
            <w:tcW w:w="8869" w:type="dxa"/>
            <w:gridSpan w:val="3"/>
            <w:shd w:val="clear" w:color="auto" w:fill="auto"/>
            <w:tcMar/>
          </w:tcPr>
          <w:p w:rsidR="00E607AB" w:rsidP="040D4F1B" w:rsidRDefault="00E607AB" w14:paraId="72A3D3EC" wp14:textId="77777777">
            <w:pPr>
              <w:pStyle w:val="Ttulodeseccin"/>
              <w:widowControl w:val="0"/>
              <w:snapToGrid w:val="0"/>
              <w:spacing w:line="240" w:lineRule="auto"/>
            </w:pPr>
          </w:p>
        </w:tc>
      </w:tr>
      <w:tr xmlns:wp14="http://schemas.microsoft.com/office/word/2010/wordml" w:rsidR="00000000" w:rsidTr="040D4F1B" w14:paraId="0D0B940D" wp14:textId="77777777">
        <w:tc>
          <w:tcPr>
            <w:tcW w:w="1609" w:type="dxa"/>
            <w:shd w:val="clear" w:color="auto" w:fill="auto"/>
            <w:tcMar/>
          </w:tcPr>
          <w:p w:rsidR="00E607AB" w:rsidRDefault="00E607AB" w14:paraId="0E27B00A" wp14:textId="77777777">
            <w:pPr>
              <w:widowControl w:val="0"/>
              <w:snapToGrid w:val="0"/>
            </w:pPr>
          </w:p>
        </w:tc>
        <w:tc>
          <w:tcPr>
            <w:tcW w:w="7260" w:type="dxa"/>
            <w:gridSpan w:val="2"/>
            <w:shd w:val="clear" w:color="auto" w:fill="auto"/>
            <w:tcMar/>
          </w:tcPr>
          <w:p w:rsidR="00E607AB" w:rsidRDefault="00E607AB" w14:paraId="60061E4C" wp14:textId="77777777">
            <w:pPr>
              <w:pStyle w:val="Logro"/>
              <w:widowControl w:val="0"/>
              <w:numPr>
                <w:ilvl w:val="0"/>
                <w:numId w:val="0"/>
              </w:numPr>
              <w:snapToGrid w:val="0"/>
            </w:pPr>
          </w:p>
        </w:tc>
      </w:tr>
      <w:tr xmlns:wp14="http://schemas.microsoft.com/office/word/2010/wordml" w:rsidR="00000000" w:rsidTr="040D4F1B" w14:paraId="4A0F419B" wp14:textId="77777777">
        <w:tc>
          <w:tcPr>
            <w:tcW w:w="8869" w:type="dxa"/>
            <w:gridSpan w:val="3"/>
            <w:shd w:val="clear" w:color="auto" w:fill="auto"/>
            <w:tcMar/>
          </w:tcPr>
          <w:p w:rsidR="00E607AB" w:rsidRDefault="00E607AB" w14:paraId="79D5145C" wp14:textId="77777777">
            <w:pPr>
              <w:pStyle w:val="Ttulodeseccin"/>
              <w:widowControl w:val="0"/>
            </w:pPr>
            <w:r>
              <w:t>Educación</w:t>
            </w:r>
          </w:p>
        </w:tc>
      </w:tr>
      <w:tr xmlns:wp14="http://schemas.microsoft.com/office/word/2010/wordml" w:rsidR="00000000" w:rsidTr="040D4F1B" w14:paraId="6347CB5B" wp14:textId="77777777">
        <w:tc>
          <w:tcPr>
            <w:tcW w:w="1609" w:type="dxa"/>
            <w:shd w:val="clear" w:color="auto" w:fill="auto"/>
            <w:tcMar/>
          </w:tcPr>
          <w:p w:rsidR="00E607AB" w:rsidP="040D4F1B" w:rsidRDefault="00E607AB" w14:paraId="44EAFD9C" wp14:textId="77777777">
            <w:pPr>
              <w:widowControl w:val="0"/>
              <w:snapToGrid w:val="0"/>
              <w:rPr>
                <w:i w:val="0"/>
                <w:iCs w:val="0"/>
              </w:rPr>
            </w:pPr>
          </w:p>
        </w:tc>
        <w:tc>
          <w:tcPr>
            <w:tcW w:w="7260" w:type="dxa"/>
            <w:gridSpan w:val="2"/>
            <w:shd w:val="clear" w:color="auto" w:fill="auto"/>
            <w:tcMar/>
          </w:tcPr>
          <w:p w:rsidR="00E607AB" w:rsidP="040D4F1B" w:rsidRDefault="00E607AB" w14:paraId="70F1621F" wp14:textId="77777777">
            <w:pPr>
              <w:pStyle w:val="Compaa"/>
              <w:widowControl w:val="0"/>
              <w:tabs>
                <w:tab w:val="clear" w:pos="1440"/>
                <w:tab w:val="clear" w:pos="6480"/>
                <w:tab w:val="left" w:pos="1250"/>
                <w:tab w:val="right" w:pos="6860"/>
              </w:tabs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 xml:space="preserve">1994-1999 </w:t>
            </w:r>
            <w:r>
              <w:tab/>
            </w:r>
            <w:r w:rsidRPr="040D4F1B" w:rsidR="7AE5E927">
              <w:rPr>
                <w:b w:val="1"/>
                <w:bCs w:val="1"/>
                <w:i w:val="0"/>
                <w:iCs w:val="0"/>
              </w:rPr>
              <w:t xml:space="preserve">Universidad San Pablo </w:t>
            </w:r>
            <w:r w:rsidRPr="040D4F1B" w:rsidR="7AE5E927">
              <w:rPr>
                <w:b w:val="1"/>
                <w:bCs w:val="1"/>
                <w:i w:val="0"/>
                <w:iCs w:val="0"/>
              </w:rPr>
              <w:t>CEU</w:t>
            </w:r>
            <w:r>
              <w:tab/>
            </w:r>
            <w:r w:rsidRPr="040D4F1B" w:rsidR="7AE5E927">
              <w:rPr>
                <w:i w:val="0"/>
                <w:iCs w:val="0"/>
              </w:rPr>
              <w:t>Madrid</w:t>
            </w:r>
            <w:r w:rsidRPr="040D4F1B" w:rsidR="7AE5E927">
              <w:rPr>
                <w:i w:val="0"/>
                <w:iCs w:val="0"/>
              </w:rPr>
              <w:t>, España</w:t>
            </w:r>
          </w:p>
          <w:p w:rsidR="00E607AB" w:rsidP="040D4F1B" w:rsidRDefault="00E607AB" w14:paraId="5159CBE2" wp14:textId="77777777">
            <w:pPr>
              <w:pStyle w:val="Cargo"/>
              <w:widowControl w:val="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Licenciado en Administración y Dirección de Empresas</w:t>
            </w:r>
          </w:p>
          <w:p w:rsidR="00E607AB" w:rsidP="040D4F1B" w:rsidRDefault="00E607AB" w14:paraId="7C25D912" wp14:textId="77777777">
            <w:pPr>
              <w:pStyle w:val="Logro"/>
              <w:widowControl w:val="0"/>
              <w:numPr>
                <w:ilvl w:val="0"/>
                <w:numId w:val="0"/>
              </w:numPr>
              <w:ind w:left="240" w:hanging="24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Especialidad Comercialización</w:t>
            </w:r>
          </w:p>
          <w:p w:rsidR="00E607AB" w:rsidP="040D4F1B" w:rsidRDefault="00E607AB" w14:paraId="7D0DEF17" wp14:textId="77777777">
            <w:pPr>
              <w:pStyle w:val="Compaa"/>
              <w:widowControl w:val="0"/>
              <w:tabs>
                <w:tab w:val="clear" w:pos="1440"/>
                <w:tab w:val="clear" w:pos="6480"/>
                <w:tab w:val="left" w:pos="1250"/>
                <w:tab w:val="right" w:pos="6860"/>
              </w:tabs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2005-2006</w:t>
            </w:r>
            <w:r>
              <w:tab/>
            </w:r>
            <w:r w:rsidRPr="040D4F1B" w:rsidR="7AE5E927">
              <w:rPr>
                <w:b w:val="1"/>
                <w:bCs w:val="1"/>
                <w:i w:val="0"/>
                <w:iCs w:val="0"/>
              </w:rPr>
              <w:t xml:space="preserve">Instituto Internacional Bravo </w:t>
            </w:r>
            <w:r w:rsidRPr="040D4F1B" w:rsidR="7AE5E927">
              <w:rPr>
                <w:b w:val="1"/>
                <w:bCs w:val="1"/>
                <w:i w:val="0"/>
                <w:iCs w:val="0"/>
              </w:rPr>
              <w:t>Murillo</w:t>
            </w:r>
            <w:r>
              <w:tab/>
            </w:r>
            <w:r w:rsidRPr="040D4F1B" w:rsidR="7AE5E927">
              <w:rPr>
                <w:i w:val="0"/>
                <w:iCs w:val="0"/>
              </w:rPr>
              <w:t>Gran</w:t>
            </w:r>
            <w:r w:rsidRPr="040D4F1B" w:rsidR="7AE5E927">
              <w:rPr>
                <w:i w:val="0"/>
                <w:iCs w:val="0"/>
              </w:rPr>
              <w:t xml:space="preserve"> Canaria, España</w:t>
            </w:r>
          </w:p>
          <w:p w:rsidR="00E607AB" w:rsidP="040D4F1B" w:rsidRDefault="00E607AB" w14:paraId="3EB353EB" wp14:textId="77777777">
            <w:pPr>
              <w:pStyle w:val="Cargo"/>
              <w:widowControl w:val="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 xml:space="preserve">Executive </w:t>
            </w:r>
            <w:r w:rsidRPr="040D4F1B" w:rsidR="7AE5E927">
              <w:rPr>
                <w:i w:val="0"/>
                <w:iCs w:val="0"/>
              </w:rPr>
              <w:t>Master</w:t>
            </w:r>
            <w:r w:rsidRPr="040D4F1B" w:rsidR="7AE5E927">
              <w:rPr>
                <w:i w:val="0"/>
                <w:iCs w:val="0"/>
              </w:rPr>
              <w:t xml:space="preserve"> en Economía y Dirección de Empresas (EMBA)</w:t>
            </w:r>
          </w:p>
        </w:tc>
      </w:tr>
      <w:tr xmlns:wp14="http://schemas.microsoft.com/office/word/2010/wordml" w:rsidR="00000000" w:rsidTr="040D4F1B" w14:paraId="6F0186CF" wp14:textId="77777777">
        <w:tc>
          <w:tcPr>
            <w:tcW w:w="8869" w:type="dxa"/>
            <w:gridSpan w:val="3"/>
            <w:shd w:val="clear" w:color="auto" w:fill="auto"/>
            <w:tcMar/>
          </w:tcPr>
          <w:p w:rsidR="00E607AB" w:rsidP="040D4F1B" w:rsidRDefault="00E607AB" w14:paraId="5A1F9D95" wp14:textId="77777777">
            <w:pPr>
              <w:pStyle w:val="Ttulodeseccin"/>
              <w:widowControl w:val="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Experiencia profesional</w:t>
            </w:r>
          </w:p>
        </w:tc>
      </w:tr>
      <w:tr xmlns:wp14="http://schemas.microsoft.com/office/word/2010/wordml" w:rsidR="00000000" w:rsidTr="040D4F1B" w14:paraId="13FC38A3" wp14:textId="77777777">
        <w:tc>
          <w:tcPr>
            <w:tcW w:w="1609" w:type="dxa"/>
            <w:shd w:val="clear" w:color="auto" w:fill="auto"/>
            <w:tcMar/>
          </w:tcPr>
          <w:p w:rsidR="00E607AB" w:rsidP="040D4F1B" w:rsidRDefault="00E607AB" w14:paraId="4B94D5A5" wp14:textId="77777777">
            <w:pPr>
              <w:widowControl w:val="0"/>
              <w:snapToGrid w:val="0"/>
              <w:rPr>
                <w:i w:val="0"/>
                <w:iCs w:val="0"/>
              </w:rPr>
            </w:pPr>
          </w:p>
        </w:tc>
        <w:tc>
          <w:tcPr>
            <w:tcW w:w="7260" w:type="dxa"/>
            <w:gridSpan w:val="2"/>
            <w:shd w:val="clear" w:color="auto" w:fill="auto"/>
            <w:tcMar/>
          </w:tcPr>
          <w:p w:rsidR="00E607AB" w:rsidP="040D4F1B" w:rsidRDefault="00E607AB" w14:paraId="415C4059" wp14:textId="77777777">
            <w:pPr>
              <w:pStyle w:val="Compaa"/>
              <w:widowControl w:val="0"/>
              <w:tabs>
                <w:tab w:val="clear" w:pos="1440"/>
                <w:tab w:val="clear" w:pos="6480"/>
                <w:tab w:val="left" w:pos="1290"/>
                <w:tab w:val="right" w:pos="6860"/>
              </w:tabs>
              <w:rPr>
                <w:b w:val="1"/>
                <w:bCs w:val="1"/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1999–2002</w:t>
            </w:r>
            <w:r>
              <w:tab/>
            </w:r>
            <w:r w:rsidRPr="040D4F1B" w:rsidR="7AE5E927">
              <w:rPr>
                <w:b w:val="1"/>
                <w:bCs w:val="1"/>
                <w:i w:val="0"/>
                <w:iCs w:val="0"/>
              </w:rPr>
              <w:t>PricewaterhouseCoopers</w:t>
            </w:r>
          </w:p>
          <w:p w:rsidR="00E607AB" w:rsidP="040D4F1B" w:rsidRDefault="00E607AB" w14:paraId="5D69AC50" wp14:textId="77777777">
            <w:pPr>
              <w:pStyle w:val="Cargo"/>
              <w:widowControl w:val="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Auditor/Consultor Senior</w:t>
            </w:r>
          </w:p>
          <w:p w:rsidR="00E607AB" w:rsidP="040D4F1B" w:rsidRDefault="00E607AB" w14:paraId="224AFFBD" wp14:textId="77777777">
            <w:pPr>
              <w:pStyle w:val="Logro"/>
              <w:widowControl w:val="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Proyectos:</w:t>
            </w:r>
          </w:p>
          <w:p w:rsidR="00E607AB" w:rsidP="040D4F1B" w:rsidRDefault="00E607AB" w14:paraId="3AA8E85E" wp14:textId="77777777">
            <w:pPr>
              <w:pStyle w:val="Logro"/>
              <w:widowControl w:val="0"/>
              <w:numPr>
                <w:ilvl w:val="0"/>
                <w:numId w:val="0"/>
              </w:numPr>
              <w:spacing w:after="120"/>
              <w:ind w:left="26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 xml:space="preserve">Toyota Canarias, Compañía Cervecera de Canarias (CCC), Autoridad Portuaria de Las Palmas, Grupo </w:t>
            </w:r>
            <w:r w:rsidRPr="040D4F1B" w:rsidR="7AE5E927">
              <w:rPr>
                <w:i w:val="0"/>
                <w:iCs w:val="0"/>
              </w:rPr>
              <w:t>Freiremar</w:t>
            </w:r>
            <w:r w:rsidRPr="040D4F1B" w:rsidR="7AE5E927">
              <w:rPr>
                <w:i w:val="0"/>
                <w:iCs w:val="0"/>
              </w:rPr>
              <w:t>, Embotelladora de Canarias (</w:t>
            </w:r>
            <w:r w:rsidRPr="040D4F1B" w:rsidR="7AE5E927">
              <w:rPr>
                <w:i w:val="0"/>
                <w:iCs w:val="0"/>
              </w:rPr>
              <w:t>Pepsico</w:t>
            </w:r>
            <w:r w:rsidRPr="040D4F1B" w:rsidR="7AE5E927">
              <w:rPr>
                <w:i w:val="0"/>
                <w:iCs w:val="0"/>
              </w:rPr>
              <w:t xml:space="preserve">), Sea </w:t>
            </w:r>
            <w:r w:rsidRPr="040D4F1B" w:rsidR="7AE5E927">
              <w:rPr>
                <w:i w:val="0"/>
                <w:iCs w:val="0"/>
              </w:rPr>
              <w:t>Side</w:t>
            </w:r>
            <w:r w:rsidRPr="040D4F1B" w:rsidR="7AE5E927">
              <w:rPr>
                <w:i w:val="0"/>
                <w:iCs w:val="0"/>
              </w:rPr>
              <w:t xml:space="preserve"> </w:t>
            </w:r>
            <w:r w:rsidRPr="040D4F1B" w:rsidR="7AE5E927">
              <w:rPr>
                <w:i w:val="0"/>
                <w:iCs w:val="0"/>
              </w:rPr>
              <w:t>Hotels</w:t>
            </w:r>
            <w:r w:rsidRPr="040D4F1B" w:rsidR="7AE5E927">
              <w:rPr>
                <w:i w:val="0"/>
                <w:iCs w:val="0"/>
              </w:rPr>
              <w:t>, Cruz Roja, Eléctrica de Maspalomas (</w:t>
            </w:r>
            <w:r w:rsidRPr="040D4F1B" w:rsidR="7AE5E927">
              <w:rPr>
                <w:i w:val="0"/>
                <w:iCs w:val="0"/>
              </w:rPr>
              <w:t>Elmasa</w:t>
            </w:r>
            <w:r w:rsidRPr="040D4F1B" w:rsidR="7AE5E927">
              <w:rPr>
                <w:i w:val="0"/>
                <w:iCs w:val="0"/>
              </w:rPr>
              <w:t>),…</w:t>
            </w:r>
          </w:p>
          <w:p w:rsidR="00E607AB" w:rsidP="040D4F1B" w:rsidRDefault="00E607AB" w14:paraId="02AEC6CF" wp14:textId="77777777">
            <w:pPr>
              <w:pStyle w:val="Compaa"/>
              <w:widowControl w:val="0"/>
              <w:tabs>
                <w:tab w:val="clear" w:pos="1440"/>
                <w:tab w:val="clear" w:pos="6480"/>
                <w:tab w:val="left" w:pos="1290"/>
                <w:tab w:val="right" w:pos="6860"/>
              </w:tabs>
              <w:spacing w:before="120" w:after="120" w:line="240" w:lineRule="auto"/>
              <w:rPr>
                <w:b w:val="1"/>
                <w:bCs w:val="1"/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2002–2003</w:t>
            </w:r>
            <w:r>
              <w:tab/>
            </w:r>
            <w:r w:rsidRPr="040D4F1B" w:rsidR="7AE5E927">
              <w:rPr>
                <w:b w:val="1"/>
                <w:bCs w:val="1"/>
                <w:i w:val="0"/>
                <w:iCs w:val="0"/>
              </w:rPr>
              <w:t xml:space="preserve">Grupo </w:t>
            </w:r>
            <w:r w:rsidRPr="040D4F1B" w:rsidR="7AE5E927">
              <w:rPr>
                <w:b w:val="1"/>
                <w:bCs w:val="1"/>
                <w:i w:val="0"/>
                <w:iCs w:val="0"/>
              </w:rPr>
              <w:t>Freiremar</w:t>
            </w:r>
          </w:p>
          <w:p w:rsidR="00E607AB" w:rsidP="040D4F1B" w:rsidRDefault="00E607AB" w14:paraId="30096F3F" wp14:textId="77777777">
            <w:pPr>
              <w:pStyle w:val="Cargo"/>
              <w:widowControl w:val="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Responsable del Dpto. de Compras</w:t>
            </w:r>
          </w:p>
          <w:p w:rsidR="00E607AB" w:rsidP="040D4F1B" w:rsidRDefault="00E607AB" w14:paraId="0DD6524B" wp14:textId="77777777">
            <w:pPr>
              <w:pStyle w:val="Compaa"/>
              <w:widowControl w:val="0"/>
              <w:tabs>
                <w:tab w:val="clear" w:pos="1440"/>
                <w:tab w:val="clear" w:pos="6480"/>
                <w:tab w:val="left" w:pos="1290"/>
                <w:tab w:val="right" w:pos="6860"/>
              </w:tabs>
              <w:rPr>
                <w:b w:val="1"/>
                <w:bCs w:val="1"/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2003–2006</w:t>
            </w:r>
            <w:r>
              <w:tab/>
            </w:r>
            <w:r w:rsidRPr="040D4F1B" w:rsidR="7AE5E927">
              <w:rPr>
                <w:b w:val="1"/>
                <w:bCs w:val="1"/>
                <w:i w:val="0"/>
                <w:iCs w:val="0"/>
              </w:rPr>
              <w:t>Ernst &amp; Young</w:t>
            </w:r>
          </w:p>
          <w:p w:rsidR="00E607AB" w:rsidP="040D4F1B" w:rsidRDefault="00E607AB" w14:paraId="716E6EF4" wp14:textId="77777777">
            <w:pPr>
              <w:pStyle w:val="Cargo"/>
              <w:widowControl w:val="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Consultor Senior</w:t>
            </w:r>
          </w:p>
          <w:p w:rsidR="00E607AB" w:rsidP="040D4F1B" w:rsidRDefault="00E607AB" w14:paraId="4681E6D1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 xml:space="preserve">Coordinación y realización de proyectos enfocados a la consultoría de negocios, como parte integrada de la estrategia nacional de la Firma. Algunos de </w:t>
            </w:r>
            <w:r w:rsidRPr="040D4F1B" w:rsidR="7AE5E927">
              <w:rPr>
                <w:i w:val="0"/>
                <w:iCs w:val="0"/>
              </w:rPr>
              <w:t>lo</w:t>
            </w:r>
            <w:r w:rsidRPr="040D4F1B" w:rsidR="7AE5E927">
              <w:rPr>
                <w:i w:val="0"/>
                <w:iCs w:val="0"/>
              </w:rPr>
              <w:t xml:space="preserve"> proyectos en los que participé son:</w:t>
            </w:r>
          </w:p>
          <w:p w:rsidR="00E607AB" w:rsidP="040D4F1B" w:rsidRDefault="00E607AB" w14:paraId="16DB9697" wp14:textId="77777777">
            <w:pPr>
              <w:pStyle w:val="Logro"/>
              <w:widowControl w:val="0"/>
              <w:ind w:left="30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 xml:space="preserve">Plan de Viabilidad de la Sociedad Pública Servicio Insular de Abastecimiento de Leche (SIALSA), Revisión de la estructura organizativa de la demarcación Gran Canaria, Lanzarote y Fuerteventura del Colegio de Arquitectos de Canarias (COAC), Creación y desarrollo de una oficina técnica para la coordinación del proyecto de concesión de premios de la Fundación </w:t>
            </w:r>
            <w:r w:rsidRPr="040D4F1B" w:rsidR="7AE5E927">
              <w:rPr>
                <w:i w:val="0"/>
                <w:iCs w:val="0"/>
              </w:rPr>
              <w:t>Amurga</w:t>
            </w:r>
            <w:r w:rsidRPr="040D4F1B" w:rsidR="7AE5E927">
              <w:rPr>
                <w:i w:val="0"/>
                <w:iCs w:val="0"/>
              </w:rPr>
              <w:t xml:space="preserve"> Maspalomas, Estudio de los costes relativos a los centros de menores gestionados por la Fundación IDEO, Realización de un estudio sobre la ubicac</w:t>
            </w:r>
            <w:r w:rsidRPr="040D4F1B" w:rsidR="7AE5E927">
              <w:rPr>
                <w:i w:val="0"/>
                <w:iCs w:val="0"/>
              </w:rPr>
              <w:t xml:space="preserve">ión y dimensionamiento del actual Recinto Ferial de Canarias (INFECAR), Informe de procedimientos acordados del Grupo Sea </w:t>
            </w:r>
            <w:r w:rsidRPr="040D4F1B" w:rsidR="7AE5E927">
              <w:rPr>
                <w:i w:val="0"/>
                <w:iCs w:val="0"/>
              </w:rPr>
              <w:t>Side</w:t>
            </w:r>
            <w:r w:rsidRPr="040D4F1B" w:rsidR="7AE5E927">
              <w:rPr>
                <w:i w:val="0"/>
                <w:iCs w:val="0"/>
              </w:rPr>
              <w:t xml:space="preserve"> </w:t>
            </w:r>
            <w:r w:rsidRPr="040D4F1B" w:rsidR="7AE5E927">
              <w:rPr>
                <w:i w:val="0"/>
                <w:iCs w:val="0"/>
              </w:rPr>
              <w:t>Hotels</w:t>
            </w:r>
            <w:r w:rsidRPr="040D4F1B" w:rsidR="7AE5E927">
              <w:rPr>
                <w:i w:val="0"/>
                <w:iCs w:val="0"/>
              </w:rPr>
              <w:t xml:space="preserve">, Estudio-diagnóstico de la situación financiera patrimonial de </w:t>
            </w:r>
            <w:r w:rsidRPr="040D4F1B" w:rsidR="7AE5E927">
              <w:rPr>
                <w:i w:val="0"/>
                <w:iCs w:val="0"/>
              </w:rPr>
              <w:t>Tenbel</w:t>
            </w:r>
            <w:r w:rsidRPr="040D4F1B" w:rsidR="7AE5E927">
              <w:rPr>
                <w:i w:val="0"/>
                <w:iCs w:val="0"/>
              </w:rPr>
              <w:t xml:space="preserve"> Turismo, Realización del proceso de selección de personal para la Cooperativa Farmacéutica Canaria (COFARCA).</w:t>
            </w:r>
          </w:p>
          <w:p w:rsidR="00E607AB" w:rsidP="040D4F1B" w:rsidRDefault="00E607AB" w14:paraId="15A267B7" wp14:textId="77777777">
            <w:pPr>
              <w:pStyle w:val="Compaa"/>
              <w:widowControl w:val="0"/>
              <w:tabs>
                <w:tab w:val="clear" w:pos="1440"/>
                <w:tab w:val="clear" w:pos="6480"/>
                <w:tab w:val="left" w:pos="1290"/>
                <w:tab w:val="right" w:pos="6860"/>
              </w:tabs>
              <w:rPr>
                <w:b w:val="1"/>
                <w:bCs w:val="1"/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2006–2009</w:t>
            </w:r>
            <w:r>
              <w:tab/>
            </w:r>
            <w:r w:rsidRPr="040D4F1B" w:rsidR="7AE5E927">
              <w:rPr>
                <w:b w:val="1"/>
                <w:bCs w:val="1"/>
                <w:i w:val="0"/>
                <w:iCs w:val="0"/>
              </w:rPr>
              <w:t>Salobre Golf &amp; Resort</w:t>
            </w:r>
          </w:p>
          <w:p w:rsidR="00E607AB" w:rsidP="040D4F1B" w:rsidRDefault="00E607AB" w14:paraId="6E29B4E7" wp14:textId="77777777">
            <w:pPr>
              <w:pStyle w:val="Cargo"/>
              <w:widowControl w:val="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Director General</w:t>
            </w:r>
          </w:p>
          <w:p w:rsidR="00E607AB" w:rsidP="040D4F1B" w:rsidRDefault="00E607AB" w14:paraId="72BC001D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 xml:space="preserve">Tareas relacionadas con las operaciones para los 2 campos de golf de 18 hoyos y en los departamentos de Mantenimiento, Tienda, Atención al cliente, Comercial, Restaurante y Academia de golf y Coordinación de las operaciones en </w:t>
            </w:r>
            <w:r w:rsidRPr="040D4F1B" w:rsidR="7AE5E927">
              <w:rPr>
                <w:i w:val="0"/>
                <w:iCs w:val="0"/>
              </w:rPr>
              <w:t>Villas Salobre</w:t>
            </w:r>
            <w:r w:rsidRPr="040D4F1B" w:rsidR="7AE5E927">
              <w:rPr>
                <w:i w:val="0"/>
                <w:iCs w:val="0"/>
              </w:rPr>
              <w:t>. 50 unidades alojativas en régimen de explotación dentro del complejo, incluyendo los departamentos de Recepción, Atención al cliente, Pisos, Servicio técnico y Jardines y Piscinas.</w:t>
            </w:r>
          </w:p>
          <w:p w:rsidR="00E607AB" w:rsidP="040D4F1B" w:rsidRDefault="00E607AB" w14:paraId="5F990AEE" wp14:textId="77777777">
            <w:pPr>
              <w:pStyle w:val="Compaa"/>
              <w:widowControl w:val="0"/>
              <w:tabs>
                <w:tab w:val="clear" w:pos="1440"/>
                <w:tab w:val="clear" w:pos="6480"/>
                <w:tab w:val="left" w:pos="1290"/>
                <w:tab w:val="right" w:pos="6860"/>
              </w:tabs>
              <w:rPr>
                <w:b w:val="1"/>
                <w:bCs w:val="1"/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2009–2013</w:t>
            </w:r>
            <w:r>
              <w:tab/>
            </w:r>
            <w:r w:rsidRPr="040D4F1B" w:rsidR="7AE5E927">
              <w:rPr>
                <w:b w:val="1"/>
                <w:bCs w:val="1"/>
                <w:i w:val="0"/>
                <w:iCs w:val="0"/>
              </w:rPr>
              <w:t>Asociación de Campos de Golf de Gran Canaria</w:t>
            </w:r>
          </w:p>
          <w:p w:rsidR="00E607AB" w:rsidP="040D4F1B" w:rsidRDefault="00E607AB" w14:paraId="40FC1DC6" wp14:textId="77777777">
            <w:pPr>
              <w:pStyle w:val="Cargo"/>
              <w:widowControl w:val="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Director Gerente</w:t>
            </w:r>
          </w:p>
          <w:p w:rsidR="00E607AB" w:rsidP="040D4F1B" w:rsidRDefault="00E607AB" w14:paraId="10903F72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Coordinación y Dirección de las acciones relativas a la comercialización de la marca “Gran Canaria Golf”.</w:t>
            </w:r>
          </w:p>
          <w:p w:rsidR="00E607AB" w:rsidP="040D4F1B" w:rsidRDefault="00E607AB" w14:paraId="4CD64D16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 xml:space="preserve">Colaboración continua para las distintas acciones realizadas conjuntamente con el </w:t>
            </w:r>
            <w:r w:rsidRPr="040D4F1B" w:rsidR="7AE5E927">
              <w:rPr>
                <w:i w:val="0"/>
                <w:iCs w:val="0"/>
              </w:rPr>
              <w:t>Patronato de Turismo del Cabildo de Gran Canaria</w:t>
            </w:r>
            <w:r w:rsidRPr="040D4F1B" w:rsidR="7AE5E927">
              <w:rPr>
                <w:i w:val="0"/>
                <w:iCs w:val="0"/>
              </w:rPr>
              <w:t xml:space="preserve"> y con la </w:t>
            </w:r>
            <w:r w:rsidRPr="040D4F1B" w:rsidR="7AE5E927">
              <w:rPr>
                <w:i w:val="0"/>
                <w:iCs w:val="0"/>
              </w:rPr>
              <w:t>Consejería de Turismo del Gobierno de Canarias (</w:t>
            </w:r>
            <w:r w:rsidRPr="040D4F1B" w:rsidR="7AE5E927">
              <w:rPr>
                <w:i w:val="0"/>
                <w:iCs w:val="0"/>
              </w:rPr>
              <w:t>Promotur</w:t>
            </w:r>
            <w:r w:rsidRPr="040D4F1B" w:rsidR="7AE5E927">
              <w:rPr>
                <w:i w:val="0"/>
                <w:iCs w:val="0"/>
              </w:rPr>
              <w:t>).</w:t>
            </w:r>
          </w:p>
          <w:p w:rsidR="00E607AB" w:rsidP="040D4F1B" w:rsidRDefault="00E607AB" w14:paraId="146E3890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Planificación y Asistencia a Ferias en los mercados emisores más importantes para Gran Canaria: Alemania, Reino Unido, Países Escandinavos y Península, principalmente.</w:t>
            </w:r>
          </w:p>
          <w:p w:rsidR="00E607AB" w:rsidP="040D4F1B" w:rsidRDefault="00E607AB" w14:paraId="13BA2250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Organización y ejecución de las Acciones de Promoción de viajes de familiarización (</w:t>
            </w:r>
            <w:r w:rsidRPr="040D4F1B" w:rsidR="7AE5E927">
              <w:rPr>
                <w:i w:val="0"/>
                <w:iCs w:val="0"/>
              </w:rPr>
              <w:t>Fam</w:t>
            </w:r>
            <w:r w:rsidRPr="040D4F1B" w:rsidR="7AE5E927">
              <w:rPr>
                <w:i w:val="0"/>
                <w:iCs w:val="0"/>
              </w:rPr>
              <w:t xml:space="preserve"> </w:t>
            </w:r>
            <w:r w:rsidRPr="040D4F1B" w:rsidR="7AE5E927">
              <w:rPr>
                <w:i w:val="0"/>
                <w:iCs w:val="0"/>
              </w:rPr>
              <w:t>Trips</w:t>
            </w:r>
            <w:r w:rsidRPr="040D4F1B" w:rsidR="7AE5E927">
              <w:rPr>
                <w:i w:val="0"/>
                <w:iCs w:val="0"/>
              </w:rPr>
              <w:t>) y de Prensa (</w:t>
            </w:r>
            <w:r w:rsidRPr="040D4F1B" w:rsidR="7AE5E927">
              <w:rPr>
                <w:i w:val="0"/>
                <w:iCs w:val="0"/>
              </w:rPr>
              <w:t>Press</w:t>
            </w:r>
            <w:r w:rsidRPr="040D4F1B" w:rsidR="7AE5E927">
              <w:rPr>
                <w:i w:val="0"/>
                <w:iCs w:val="0"/>
              </w:rPr>
              <w:t xml:space="preserve"> </w:t>
            </w:r>
            <w:r w:rsidRPr="040D4F1B" w:rsidR="7AE5E927">
              <w:rPr>
                <w:i w:val="0"/>
                <w:iCs w:val="0"/>
              </w:rPr>
              <w:t>Trips</w:t>
            </w:r>
            <w:r w:rsidRPr="040D4F1B" w:rsidR="7AE5E927">
              <w:rPr>
                <w:i w:val="0"/>
                <w:iCs w:val="0"/>
              </w:rPr>
              <w:t>), para los distintos TTOO y periodistas europeos, respectivamente.</w:t>
            </w:r>
          </w:p>
          <w:p w:rsidR="00E607AB" w:rsidP="040D4F1B" w:rsidRDefault="00E607AB" w14:paraId="325AFB22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Relaciones comerciales, institucionales y de promoción con los distintos TTOO relevantes, tanto del sector específico de golf, como del denominado “genérico”.</w:t>
            </w:r>
          </w:p>
          <w:p w:rsidR="00E607AB" w:rsidP="040D4F1B" w:rsidRDefault="00E607AB" w14:paraId="2C6F928F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Realización de Informes bimensuales informativos a los Asociados, así como de los Presupuestos Anuales y de la Memoria Anual de Gran Canaria Golf.</w:t>
            </w:r>
          </w:p>
          <w:p w:rsidR="00E607AB" w:rsidP="040D4F1B" w:rsidRDefault="00E607AB" w14:paraId="776CFD80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Centralización de información relativa a la producción y número de visitantes de los distintos campos de golf que conforman la Asociación.</w:t>
            </w:r>
          </w:p>
          <w:p w:rsidR="00E607AB" w:rsidP="040D4F1B" w:rsidRDefault="00E607AB" w14:paraId="25169A94" wp14:textId="77777777">
            <w:pPr>
              <w:pStyle w:val="Compaa"/>
              <w:widowControl w:val="0"/>
              <w:tabs>
                <w:tab w:val="clear" w:pos="1440"/>
                <w:tab w:val="clear" w:pos="6480"/>
                <w:tab w:val="left" w:pos="1290"/>
                <w:tab w:val="right" w:pos="6860"/>
              </w:tabs>
              <w:rPr>
                <w:b w:val="1"/>
                <w:bCs w:val="1"/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2011–2013</w:t>
            </w:r>
            <w:r>
              <w:tab/>
            </w:r>
            <w:r w:rsidRPr="040D4F1B" w:rsidR="7AE5E927">
              <w:rPr>
                <w:b w:val="1"/>
                <w:bCs w:val="1"/>
                <w:i w:val="0"/>
                <w:iCs w:val="0"/>
              </w:rPr>
              <w:t>Consejería de Turismo del Cabildo de Gran Canaria</w:t>
            </w:r>
          </w:p>
          <w:p w:rsidR="00E607AB" w:rsidP="040D4F1B" w:rsidRDefault="00E607AB" w14:paraId="1CEA9B77" wp14:textId="77777777">
            <w:pPr>
              <w:pStyle w:val="Cargo"/>
              <w:widowControl w:val="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Asesor de Turismo</w:t>
            </w:r>
          </w:p>
          <w:p w:rsidR="00E607AB" w:rsidP="040D4F1B" w:rsidRDefault="00E607AB" w14:paraId="7F7B67D0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Elaboración, coordinación y seguimiento del Plan Estratégico Gran Canaria Turismo 2020.</w:t>
            </w:r>
          </w:p>
          <w:p w:rsidR="00E607AB" w:rsidP="040D4F1B" w:rsidRDefault="00E607AB" w14:paraId="40EFB57B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 xml:space="preserve">Asesoramiento en las acciones de promoción de los departamentos de Mercados, Producto, Análisis turístico, Publicidad y Marketing e Información e Internet, pertenecientes al </w:t>
            </w:r>
            <w:r w:rsidRPr="040D4F1B" w:rsidR="7AE5E927">
              <w:rPr>
                <w:i w:val="0"/>
                <w:iCs w:val="0"/>
              </w:rPr>
              <w:t>Patronato de Turismo de Gran Canaria.</w:t>
            </w:r>
          </w:p>
          <w:p w:rsidR="00E607AB" w:rsidP="040D4F1B" w:rsidRDefault="00E607AB" w14:paraId="1881FEB1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 xml:space="preserve">Asistencia a Ferias, eventos, workshops, </w:t>
            </w:r>
            <w:r w:rsidRPr="040D4F1B" w:rsidR="7AE5E927">
              <w:rPr>
                <w:i w:val="0"/>
                <w:iCs w:val="0"/>
              </w:rPr>
              <w:t>fam</w:t>
            </w:r>
            <w:r w:rsidRPr="040D4F1B" w:rsidR="7AE5E927">
              <w:rPr>
                <w:i w:val="0"/>
                <w:iCs w:val="0"/>
              </w:rPr>
              <w:t xml:space="preserve"> y </w:t>
            </w:r>
            <w:r w:rsidRPr="040D4F1B" w:rsidR="7AE5E927">
              <w:rPr>
                <w:i w:val="0"/>
                <w:iCs w:val="0"/>
              </w:rPr>
              <w:t>press</w:t>
            </w:r>
            <w:r w:rsidRPr="040D4F1B" w:rsidR="7AE5E927">
              <w:rPr>
                <w:i w:val="0"/>
                <w:iCs w:val="0"/>
              </w:rPr>
              <w:t xml:space="preserve"> </w:t>
            </w:r>
            <w:r w:rsidRPr="040D4F1B" w:rsidR="7AE5E927">
              <w:rPr>
                <w:i w:val="0"/>
                <w:iCs w:val="0"/>
              </w:rPr>
              <w:t>trips</w:t>
            </w:r>
            <w:r w:rsidRPr="040D4F1B" w:rsidR="7AE5E927">
              <w:rPr>
                <w:i w:val="0"/>
                <w:iCs w:val="0"/>
              </w:rPr>
              <w:t xml:space="preserve"> en representación de la Consejería de Turismo en los países claves para Gran Canaria: Alemania, Reino Unido, Países Nórdicos, Rusia, Austria y Península, principalmente.</w:t>
            </w:r>
          </w:p>
          <w:p w:rsidR="00E607AB" w:rsidP="040D4F1B" w:rsidRDefault="00E607AB" w14:paraId="15AC6DFF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 xml:space="preserve">Ayuda en la elaboración de presupuestos del </w:t>
            </w:r>
            <w:r w:rsidRPr="040D4F1B" w:rsidR="7AE5E927">
              <w:rPr>
                <w:i w:val="0"/>
                <w:iCs w:val="0"/>
              </w:rPr>
              <w:t>Patronato de Turismo de Gran Canaria</w:t>
            </w:r>
            <w:r w:rsidRPr="040D4F1B" w:rsidR="7AE5E927">
              <w:rPr>
                <w:i w:val="0"/>
                <w:iCs w:val="0"/>
              </w:rPr>
              <w:t xml:space="preserve">, así como su control en la ejecución </w:t>
            </w:r>
            <w:r w:rsidRPr="040D4F1B" w:rsidR="7AE5E927">
              <w:rPr>
                <w:i w:val="0"/>
                <w:iCs w:val="0"/>
              </w:rPr>
              <w:t>del mismo</w:t>
            </w:r>
            <w:r w:rsidRPr="040D4F1B" w:rsidR="7AE5E927">
              <w:rPr>
                <w:i w:val="0"/>
                <w:iCs w:val="0"/>
              </w:rPr>
              <w:t>.</w:t>
            </w:r>
          </w:p>
          <w:p w:rsidR="00E607AB" w:rsidP="040D4F1B" w:rsidRDefault="00E607AB" w14:paraId="79579932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Asesoramiento en la firma de Convenios de colaboración con TTOO y LLAA.</w:t>
            </w:r>
          </w:p>
          <w:p w:rsidR="00E607AB" w:rsidP="040D4F1B" w:rsidRDefault="00E607AB" w14:paraId="2699F335" wp14:textId="77777777">
            <w:pPr>
              <w:pStyle w:val="Compaa"/>
              <w:widowControl w:val="0"/>
              <w:tabs>
                <w:tab w:val="clear" w:pos="1440"/>
                <w:tab w:val="clear" w:pos="6480"/>
                <w:tab w:val="left" w:pos="1290"/>
                <w:tab w:val="right" w:pos="6860"/>
              </w:tabs>
              <w:rPr>
                <w:b w:val="1"/>
                <w:bCs w:val="1"/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 xml:space="preserve">Desde 2013       </w:t>
            </w:r>
            <w:r w:rsidRPr="040D4F1B" w:rsidR="7AE5E927">
              <w:rPr>
                <w:b w:val="1"/>
                <w:bCs w:val="1"/>
                <w:i w:val="0"/>
                <w:iCs w:val="0"/>
              </w:rPr>
              <w:t>Patronato de Turismo de Gran Canaria</w:t>
            </w:r>
          </w:p>
          <w:p w:rsidR="00E607AB" w:rsidP="040D4F1B" w:rsidRDefault="00E607AB" w14:paraId="6F425B7E" wp14:textId="77777777">
            <w:pPr>
              <w:pStyle w:val="Cargo"/>
              <w:widowControl w:val="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Director Gerente</w:t>
            </w:r>
          </w:p>
          <w:p w:rsidR="00E607AB" w:rsidP="040D4F1B" w:rsidRDefault="00E607AB" w14:paraId="3013F80C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 xml:space="preserve">Ejecutar y hacer cumplir las instrucciones u órdenes de servicio que pudiera encomendarle el </w:t>
            </w:r>
            <w:r w:rsidRPr="040D4F1B" w:rsidR="7AE5E927">
              <w:rPr>
                <w:i w:val="0"/>
                <w:iCs w:val="0"/>
              </w:rPr>
              <w:t>Presidente</w:t>
            </w:r>
            <w:r w:rsidRPr="040D4F1B" w:rsidR="7AE5E927">
              <w:rPr>
                <w:i w:val="0"/>
                <w:iCs w:val="0"/>
              </w:rPr>
              <w:t xml:space="preserve"> o cualquiera de los órganos colegiados.</w:t>
            </w:r>
          </w:p>
          <w:p w:rsidR="00E607AB" w:rsidP="040D4F1B" w:rsidRDefault="00E607AB" w14:paraId="7313C837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El seguimiento de los contratos, bienes y servicios y marcha del Patronato de Turismo de Gran Canaria.</w:t>
            </w:r>
          </w:p>
          <w:p w:rsidR="00E607AB" w:rsidP="040D4F1B" w:rsidRDefault="00E607AB" w14:paraId="3EE1B035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 xml:space="preserve">Asistir obligatoriamente a las sesiones del Comité Ejecutivo y Junta Rectora, con </w:t>
            </w:r>
            <w:r w:rsidRPr="040D4F1B" w:rsidR="7AE5E927">
              <w:rPr>
                <w:i w:val="0"/>
                <w:iCs w:val="0"/>
              </w:rPr>
              <w:t>voz</w:t>
            </w:r>
            <w:r w:rsidRPr="040D4F1B" w:rsidR="7AE5E927">
              <w:rPr>
                <w:i w:val="0"/>
                <w:iCs w:val="0"/>
              </w:rPr>
              <w:t xml:space="preserve"> pero sin voto.</w:t>
            </w:r>
          </w:p>
          <w:p w:rsidR="00E607AB" w:rsidP="040D4F1B" w:rsidRDefault="00E607AB" w14:paraId="72E128FF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Jefatura inmediata de todo el personal.</w:t>
            </w:r>
          </w:p>
          <w:p w:rsidR="00E607AB" w:rsidP="040D4F1B" w:rsidRDefault="00E607AB" w14:paraId="7E3B68B1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Redactar los anteproyectos de los presupuestos anuales, estado de cuenta y memoria informativa anual.</w:t>
            </w:r>
          </w:p>
          <w:p w:rsidR="00E607AB" w:rsidP="040D4F1B" w:rsidRDefault="00E607AB" w14:paraId="69E23098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>Negociar los contratos de bienes y servicios de personal en las condiciones previamente establecidas según los Estatutos.</w:t>
            </w:r>
          </w:p>
          <w:p w:rsidR="00E607AB" w:rsidP="040D4F1B" w:rsidRDefault="00E607AB" w14:paraId="3A1E66A4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 xml:space="preserve">Elevar al </w:t>
            </w:r>
            <w:r w:rsidRPr="040D4F1B" w:rsidR="7AE5E927">
              <w:rPr>
                <w:i w:val="0"/>
                <w:iCs w:val="0"/>
              </w:rPr>
              <w:t>Presidente</w:t>
            </w:r>
            <w:r w:rsidRPr="040D4F1B" w:rsidR="7AE5E927">
              <w:rPr>
                <w:i w:val="0"/>
                <w:iCs w:val="0"/>
              </w:rPr>
              <w:t xml:space="preserve"> los proyectos que estime conveniente para el mejor funcionamiento del Patronato de Turismo de Gran Canaria.</w:t>
            </w:r>
          </w:p>
          <w:p w:rsidR="00E607AB" w:rsidP="040D4F1B" w:rsidRDefault="00E607AB" w14:paraId="6FBE55EF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 xml:space="preserve">Despachar los asuntos de trámite, dando posteriormente cuenta el </w:t>
            </w:r>
            <w:r w:rsidRPr="040D4F1B" w:rsidR="7AE5E927">
              <w:rPr>
                <w:i w:val="0"/>
                <w:iCs w:val="0"/>
              </w:rPr>
              <w:t>Presidente</w:t>
            </w:r>
            <w:r w:rsidRPr="040D4F1B" w:rsidR="7AE5E927">
              <w:rPr>
                <w:i w:val="0"/>
                <w:iCs w:val="0"/>
              </w:rPr>
              <w:t xml:space="preserve"> del Patronato de Turismo.</w:t>
            </w:r>
          </w:p>
          <w:p w:rsidR="00E607AB" w:rsidP="040D4F1B" w:rsidRDefault="00E607AB" w14:paraId="0D68EC0B" wp14:textId="77777777">
            <w:pPr>
              <w:pStyle w:val="Logro"/>
              <w:widowControl w:val="0"/>
              <w:ind w:left="300" w:hanging="220"/>
              <w:rPr>
                <w:i w:val="0"/>
                <w:iCs w:val="0"/>
              </w:rPr>
            </w:pPr>
            <w:r w:rsidRPr="040D4F1B" w:rsidR="7AE5E927">
              <w:rPr>
                <w:i w:val="0"/>
                <w:iCs w:val="0"/>
              </w:rPr>
              <w:t xml:space="preserve">Aquellos asuntos que le puedan ser delegados por la Junta Rectora, Comité Ejecutivo o el </w:t>
            </w:r>
            <w:r w:rsidRPr="040D4F1B" w:rsidR="7AE5E927">
              <w:rPr>
                <w:i w:val="0"/>
                <w:iCs w:val="0"/>
              </w:rPr>
              <w:t>Presidente</w:t>
            </w:r>
            <w:r w:rsidRPr="040D4F1B" w:rsidR="7AE5E927">
              <w:rPr>
                <w:i w:val="0"/>
                <w:iCs w:val="0"/>
              </w:rPr>
              <w:t xml:space="preserve"> del Patronato de Turismo</w:t>
            </w:r>
          </w:p>
        </w:tc>
      </w:tr>
      <w:tr xmlns:wp14="http://schemas.microsoft.com/office/word/2010/wordml" w:rsidR="00000000" w:rsidTr="040D4F1B" w14:paraId="3DEEC669" wp14:textId="77777777">
        <w:tc>
          <w:tcPr>
            <w:tcW w:w="8869" w:type="dxa"/>
            <w:gridSpan w:val="3"/>
            <w:shd w:val="clear" w:color="auto" w:fill="auto"/>
            <w:tcMar/>
          </w:tcPr>
          <w:p w:rsidR="00E607AB" w:rsidP="040D4F1B" w:rsidRDefault="00E607AB" w14:paraId="3656B9AB" wp14:textId="77777777">
            <w:pPr>
              <w:pStyle w:val="Ttulodeseccin"/>
              <w:widowControl w:val="0"/>
              <w:rPr>
                <w:rFonts w:eastAsia="Garamond"/>
                <w:i w:val="0"/>
                <w:iCs w:val="0"/>
              </w:rPr>
            </w:pPr>
          </w:p>
        </w:tc>
      </w:tr>
    </w:tbl>
    <w:p xmlns:wp14="http://schemas.microsoft.com/office/word/2010/wordml" w:rsidR="00E607AB" w:rsidRDefault="00E607AB" w14:paraId="45FB0818" wp14:textId="77777777"/>
    <w:sectPr w:rsidR="00000000">
      <w:headerReference w:type="default" r:id="rId9"/>
      <w:footerReference w:type="default" r:id="rId10"/>
      <w:headerReference w:type="first" r:id="rId11"/>
      <w:footerReference w:type="first" r:id="rId12"/>
      <w:pgSz w:w="11906" w:h="16838" w:orient="portrait"/>
      <w:pgMar w:top="2268" w:right="1701" w:bottom="1418" w:left="1701" w:header="709" w:footer="709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E607AB" w:rsidRDefault="00E607AB" w14:paraId="049F31C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607AB" w:rsidRDefault="00E607AB" w14:paraId="5312826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1435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E607AB" w:rsidRDefault="00E607AB" w14:paraId="195B0105" wp14:textId="77777777">
    <w:pPr>
      <w:pStyle w:val="Piedepgina1"/>
      <w:jc w:val="center"/>
    </w:pPr>
    <w:r>
      <w:rPr>
        <w:rFonts w:ascii="Trebuchet MS" w:hAnsi="Trebuchet MS"/>
        <w:color w:val="7F7F7F"/>
        <w:sz w:val="16"/>
      </w:rPr>
      <w:t xml:space="preserve">Triana 93. C.P.35002 - Las Palmas de Gran Canaria. Tlf.: 928 21 96 00. Fax: 928 21 96 01   </w:t>
    </w:r>
  </w:p>
  <w:p xmlns:wp14="http://schemas.microsoft.com/office/word/2010/wordml" w:rsidR="00E607AB" w:rsidRDefault="00E607AB" w14:paraId="408EE7D4" wp14:textId="77777777">
    <w:pPr>
      <w:pStyle w:val="Piedepgina1"/>
      <w:jc w:val="center"/>
    </w:pPr>
    <w:r>
      <w:rPr>
        <w:rFonts w:ascii="Trebuchet MS" w:hAnsi="Trebuchet MS"/>
        <w:b/>
        <w:color w:val="7F7F7F"/>
        <w:sz w:val="16"/>
      </w:rPr>
      <w:t>www.grancanaria.com</w:t>
    </w:r>
  </w:p>
  <w:p xmlns:wp14="http://schemas.microsoft.com/office/word/2010/wordml" w:rsidR="00E607AB" w:rsidRDefault="00E607AB" w14:paraId="4DDBEF00" wp14:textId="77777777">
    <w:pPr>
      <w:pStyle w:val="Piedepgin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E607AB" w:rsidRDefault="00E607AB" w14:paraId="4B99056E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E607AB" w:rsidRDefault="00E607AB" w14:paraId="62486C0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607AB" w:rsidRDefault="00E607AB" w14:paraId="4101652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E607AB" w:rsidRDefault="00E607AB" w14:paraId="66F59ACE" wp14:textId="77777777">
    <w:pPr>
      <w:pStyle w:val="Encabezado1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1" wp14:anchorId="03EF6F0A" wp14:editId="7777777">
          <wp:simplePos x="0" y="0"/>
          <wp:positionH relativeFrom="column">
            <wp:posOffset>-13335</wp:posOffset>
          </wp:positionH>
          <wp:positionV relativeFrom="paragraph">
            <wp:posOffset>-69215</wp:posOffset>
          </wp:positionV>
          <wp:extent cx="2266315" cy="89471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E607AB" w:rsidRDefault="00E607AB" w14:paraId="1299C43A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"/>
      <w:lvlJc w:val="left"/>
      <w:pPr>
        <w:tabs>
          <w:tab w:val="num" w:pos="240"/>
        </w:tabs>
        <w:ind w:left="240" w:hanging="24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9741498">
    <w:abstractNumId w:val="0"/>
  </w:num>
  <w:num w:numId="2" w16cid:durableId="189369381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strokecolor="none [1]" fillcolor="none [4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88"/>
    <w:rsid w:val="00823888"/>
    <w:rsid w:val="00E607AB"/>
    <w:rsid w:val="040D4F1B"/>
    <w:rsid w:val="1175F0B5"/>
    <w:rsid w:val="6422BFD3"/>
    <w:rsid w:val="6C9483D3"/>
    <w:rsid w:val="7AE5E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]" fillcolor="none [4]" shadowcolor="none [2]"/>
    </o:shapedefaults>
    <o:shapelayout v:ext="edit">
      <o:idmap v:ext="edit" data="2"/>
    </o:shapelayout>
  </w:shapeDefaults>
  <w:doNotEmbedSmartTags/>
  <w:decimalSymbol w:val="."/>
  <w:listSeparator w:val=","/>
  <w14:docId w14:val="6E3CE145"/>
  <w15:chartTrackingRefBased/>
  <w15:docId w15:val="{D375B7D9-BB93-442E-A99A-D43C7AE209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200" w:line="276" w:lineRule="auto"/>
    </w:pPr>
    <w:rPr>
      <w:rFonts w:ascii="Calibri" w:hAnsi="Calibri" w:eastAsia="Calibri" w:cs="font1435"/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DefaultParagraphFont" w:customStyle="1">
    <w:name w:val="Default Paragraph Font0"/>
  </w:style>
  <w:style w:type="character" w:styleId="EncabezadoCar" w:customStyle="1">
    <w:name w:val="Encabezado Car"/>
    <w:basedOn w:val="DefaultParagraphFont"/>
  </w:style>
  <w:style w:type="character" w:styleId="PiedepginaCar" w:customStyle="1">
    <w:name w:val="Pie de página Car"/>
    <w:basedOn w:val="DefaultParagraphFont"/>
  </w:style>
  <w:style w:type="character" w:styleId="Fuentedeprrafopredeter1" w:customStyle="1">
    <w:name w:val="Fuente de párrafo predeter.1"/>
  </w:style>
  <w:style w:type="character" w:styleId="Strong" w:customStyle="1">
    <w:name w:val="Strong"/>
    <w:rPr>
      <w:b/>
    </w:rPr>
  </w:style>
  <w:style w:type="character" w:styleId="apple-tab-span" w:customStyle="1">
    <w:name w:val="apple-tab-span"/>
  </w:style>
  <w:style w:type="character" w:styleId="TextodegloboCar" w:customStyle="1">
    <w:name w:val="Texto de globo Car"/>
    <w:rPr>
      <w:rFonts w:ascii="Tahoma" w:hAnsi="Tahoma" w:eastAsia="Tahoma"/>
      <w:sz w:val="16"/>
      <w:szCs w:val="16"/>
    </w:rPr>
  </w:style>
  <w:style w:type="character" w:styleId="WW8Num12z0" w:customStyle="1">
    <w:name w:val="WW8Num12z0"/>
    <w:rPr>
      <w:rFonts w:ascii="Wingdings" w:hAnsi="Wingdings" w:cs="Wingdings"/>
      <w:sz w:val="12"/>
    </w:rPr>
  </w:style>
  <w:style w:type="character" w:styleId="ListLabel1" w:customStyle="1">
    <w:name w:val="ListLabel 1"/>
    <w:rPr>
      <w:rFonts w:cs="Wingdings"/>
    </w:rPr>
  </w:style>
  <w:style w:type="paragraph" w:styleId="Ttulo1" w:customStyle="1">
    <w:name w:val="Título1"/>
    <w:basedOn w:val="Normal"/>
    <w:next w:val="Textoindependient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cs="Manga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Descripcin1" w:customStyle="1">
    <w:name w:val="Descripció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ceraypie" w:customStyle="1">
    <w:name w:val="Cabecera y pie"/>
    <w:basedOn w:val="Normal"/>
  </w:style>
  <w:style w:type="paragraph" w:styleId="Encabezado1" w:customStyle="1">
    <w:name w:val="Encabezado1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Piedepgina1" w:customStyle="1">
    <w:name w:val="Pie de página1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paragraph" w:styleId="Sinespaciado">
    <w:name w:val="No Spacing"/>
    <w:qFormat/>
    <w:pPr>
      <w:suppressAutoHyphens/>
    </w:pPr>
    <w:rPr>
      <w:rFonts w:ascii="Cambria" w:hAnsi="Cambria" w:eastAsia="Mangal" w:cs="Liberation Serif"/>
      <w:szCs w:val="25"/>
      <w:lang w:val="es-ES_tradnl" w:eastAsia="ar-SA"/>
    </w:rPr>
  </w:style>
  <w:style w:type="paragraph" w:styleId="CM1" w:customStyle="1">
    <w:name w:val="CM1"/>
    <w:basedOn w:val="Normal"/>
    <w:pPr>
      <w:spacing w:line="273" w:lineRule="atLeast"/>
    </w:pPr>
    <w:rPr>
      <w:rFonts w:ascii="Arial" w:hAnsi="Arial" w:eastAsia="Arial"/>
      <w:lang w:eastAsia="ar-SA"/>
    </w:rPr>
  </w:style>
  <w:style w:type="paragraph" w:styleId="CM3" w:customStyle="1">
    <w:name w:val="CM3"/>
    <w:pPr>
      <w:widowControl w:val="0"/>
      <w:suppressAutoHyphens/>
      <w:spacing w:line="240" w:lineRule="atLeast"/>
    </w:pPr>
    <w:rPr>
      <w:rFonts w:ascii="Arial" w:hAnsi="Arial" w:eastAsia="Arial" w:cs="font1435"/>
      <w:szCs w:val="22"/>
      <w:lang w:eastAsia="ar-SA"/>
    </w:rPr>
  </w:style>
  <w:style w:type="paragraph" w:styleId="Default" w:customStyle="1">
    <w:name w:val="Default"/>
    <w:pPr>
      <w:widowControl w:val="0"/>
      <w:suppressAutoHyphens/>
    </w:pPr>
    <w:rPr>
      <w:rFonts w:ascii="Arial" w:hAnsi="Arial" w:eastAsia="Arial" w:cs="Liberation Serif"/>
      <w:color w:val="000000"/>
      <w:sz w:val="24"/>
      <w:szCs w:val="24"/>
      <w:lang w:eastAsia="ar-SA"/>
    </w:rPr>
  </w:style>
  <w:style w:type="paragraph" w:styleId="Header1" w:customStyle="1">
    <w:name w:val="Header1"/>
    <w:basedOn w:val="Normal"/>
    <w:pPr>
      <w:tabs>
        <w:tab w:val="center" w:pos="4818"/>
        <w:tab w:val="right" w:pos="9637"/>
      </w:tabs>
    </w:pPr>
  </w:style>
  <w:style w:type="paragraph" w:styleId="Footer1" w:customStyle="1">
    <w:name w:val="Footer1"/>
    <w:basedOn w:val="Normal"/>
    <w:pPr>
      <w:tabs>
        <w:tab w:val="center" w:pos="4818"/>
        <w:tab w:val="right" w:pos="9637"/>
      </w:tabs>
    </w:pPr>
  </w:style>
  <w:style w:type="paragraph" w:styleId="Header2" w:customStyle="1">
    <w:name w:val="Header2"/>
    <w:basedOn w:val="Normal"/>
    <w:pPr>
      <w:tabs>
        <w:tab w:val="right" w:pos="9637"/>
      </w:tabs>
    </w:pPr>
  </w:style>
  <w:style w:type="paragraph" w:styleId="Footer2" w:customStyle="1">
    <w:name w:val="Footer2"/>
    <w:basedOn w:val="Normal"/>
    <w:pPr>
      <w:tabs>
        <w:tab w:val="right" w:pos="9637"/>
      </w:tabs>
    </w:pPr>
  </w:style>
  <w:style w:type="paragraph" w:styleId="Header3" w:customStyle="1">
    <w:name w:val="Header3"/>
    <w:basedOn w:val="Normal"/>
    <w:pPr>
      <w:tabs>
        <w:tab w:val="center" w:pos="4818"/>
        <w:tab w:val="right" w:pos="9637"/>
      </w:tabs>
    </w:pPr>
  </w:style>
  <w:style w:type="paragraph" w:styleId="Header4" w:customStyle="1">
    <w:name w:val="Header4"/>
    <w:basedOn w:val="Normal"/>
    <w:pPr>
      <w:tabs>
        <w:tab w:val="center" w:pos="4818"/>
        <w:tab w:val="right" w:pos="9637"/>
      </w:tabs>
    </w:pPr>
  </w:style>
  <w:style w:type="paragraph" w:styleId="Footer3" w:customStyle="1">
    <w:name w:val="Footer3"/>
    <w:basedOn w:val="Normal"/>
    <w:pPr>
      <w:tabs>
        <w:tab w:val="center" w:pos="4818"/>
        <w:tab w:val="right" w:pos="9637"/>
      </w:tabs>
    </w:pPr>
  </w:style>
  <w:style w:type="paragraph" w:styleId="gmail-m-8034235717053754231msolistparagraph" w:customStyle="1">
    <w:name w:val="gmail-m_-8034235717053754231msolistparagraph"/>
    <w:basedOn w:val="Normal"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ListParagraph" w:customStyle="1">
    <w:name w:val="List Paragraph"/>
    <w:basedOn w:val="Normal"/>
    <w:pPr>
      <w:ind w:left="720"/>
      <w:contextualSpacing/>
    </w:pPr>
    <w:rPr>
      <w:lang w:val="en-US"/>
    </w:rPr>
  </w:style>
  <w:style w:type="paragraph" w:styleId="BalloonText" w:customStyle="1">
    <w:name w:val="Balloon Text"/>
    <w:basedOn w:val="Normal"/>
    <w:pPr>
      <w:spacing w:after="0"/>
    </w:pPr>
    <w:rPr>
      <w:rFonts w:ascii="Tahoma" w:hAnsi="Tahoma" w:eastAsia="Tahoma"/>
      <w:sz w:val="16"/>
      <w:szCs w:val="16"/>
      <w:lang w:eastAsia="ar-SA"/>
    </w:rPr>
  </w:style>
  <w:style w:type="paragraph" w:styleId="Direccin2" w:customStyle="1">
    <w:name w:val="Dirección 2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styleId="Direccin1" w:customStyle="1">
    <w:name w:val="Dirección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styleId="Nombre" w:customStyle="1">
    <w:name w:val="Nombre"/>
    <w:basedOn w:val="Normal"/>
    <w:next w:val="Normal"/>
    <w:pPr>
      <w:spacing w:after="440" w:line="240" w:lineRule="atLeast"/>
      <w:jc w:val="center"/>
    </w:pPr>
    <w:rPr>
      <w:caps/>
      <w:spacing w:val="80"/>
      <w:sz w:val="44"/>
    </w:rPr>
  </w:style>
  <w:style w:type="paragraph" w:styleId="Ttulodeseccin" w:customStyle="1">
    <w:name w:val="Título de sección"/>
    <w:basedOn w:val="Normal"/>
    <w:next w:val="Objetivo"/>
    <w:pPr>
      <w:pBdr>
        <w:top w:val="none" w:color="000000" w:sz="0" w:space="0"/>
        <w:left w:val="none" w:color="000000" w:sz="0" w:space="0"/>
        <w:bottom w:val="single" w:color="808080" w:sz="6" w:space="1"/>
        <w:right w:val="none" w:color="000000" w:sz="0" w:space="0"/>
      </w:pBdr>
      <w:spacing w:before="220" w:after="0" w:line="220" w:lineRule="atLeast"/>
    </w:pPr>
    <w:rPr>
      <w:caps/>
      <w:spacing w:val="15"/>
      <w:sz w:val="20"/>
    </w:rPr>
  </w:style>
  <w:style w:type="paragraph" w:styleId="Objetivo" w:customStyle="1">
    <w:name w:val="Objetivo"/>
    <w:basedOn w:val="Normal"/>
    <w:next w:val="Textoindependiente"/>
    <w:pPr>
      <w:spacing w:before="60" w:after="220" w:line="220" w:lineRule="atLeast"/>
    </w:pPr>
  </w:style>
  <w:style w:type="paragraph" w:styleId="Logro" w:customStyle="1">
    <w:name w:val="Logro"/>
    <w:basedOn w:val="Textoindependiente"/>
    <w:pPr>
      <w:numPr>
        <w:numId w:val="1"/>
      </w:numPr>
      <w:spacing w:after="60"/>
    </w:pPr>
  </w:style>
  <w:style w:type="paragraph" w:styleId="Compaa" w:customStyle="1">
    <w:name w:val="Compañía"/>
    <w:basedOn w:val="Normal"/>
    <w:next w:val="Cargo"/>
    <w:pPr>
      <w:tabs>
        <w:tab w:val="left" w:pos="1440"/>
        <w:tab w:val="right" w:pos="6480"/>
      </w:tabs>
      <w:spacing w:before="220" w:after="0" w:line="220" w:lineRule="atLeast"/>
    </w:pPr>
  </w:style>
  <w:style w:type="paragraph" w:styleId="Cargo" w:customStyle="1">
    <w:name w:val="Cargo"/>
    <w:next w:val="Logro"/>
    <w:pPr>
      <w:suppressAutoHyphens/>
      <w:spacing w:before="40" w:after="40" w:line="220" w:lineRule="atLeast"/>
    </w:pPr>
    <w:rPr>
      <w:rFonts w:ascii="Garamond" w:hAnsi="Garamond" w:eastAsia="Batang" w:cs="Garamond"/>
      <w:i/>
      <w:spacing w:val="5"/>
      <w:sz w:val="2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99138D20E980459DACFF5EBF74342D" ma:contentTypeVersion="16" ma:contentTypeDescription="Crear nuevo documento." ma:contentTypeScope="" ma:versionID="900661291d024a88b0fb5ef76b146f67">
  <xsd:schema xmlns:xsd="http://www.w3.org/2001/XMLSchema" xmlns:xs="http://www.w3.org/2001/XMLSchema" xmlns:p="http://schemas.microsoft.com/office/2006/metadata/properties" xmlns:ns2="6e0012e4-d08f-4cf8-aeac-a55a49cf3a8a" xmlns:ns3="2283600c-99ed-45c4-bdba-aff7cfba4608" targetNamespace="http://schemas.microsoft.com/office/2006/metadata/properties" ma:root="true" ma:fieldsID="bf0e1f60570c90449130ef78b969794a" ns2:_="" ns3:_="">
    <xsd:import namespace="6e0012e4-d08f-4cf8-aeac-a55a49cf3a8a"/>
    <xsd:import namespace="2283600c-99ed-45c4-bdba-aff7cfba46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012e4-d08f-4cf8-aeac-a55a49cf3a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6367ab-411f-4103-b206-d8446f6daa82}" ma:internalName="TaxCatchAll" ma:showField="CatchAllData" ma:web="6e0012e4-d08f-4cf8-aeac-a55a49cf3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3600c-99ed-45c4-bdba-aff7cfba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457fa6f9-cb37-4e6b-b258-2f6950d47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08D9A-B034-424C-A917-D178ADCE9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73EE9-03AD-4BB6-8C87-CE5E2BBCD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012e4-d08f-4cf8-aeac-a55a49cf3a8a"/>
    <ds:schemaRef ds:uri="2283600c-99ed-45c4-bdba-aff7cfba4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</dc:creator>
  <keywords/>
  <lastModifiedBy>Fernando Diaz</lastModifiedBy>
  <revision>2</revision>
  <lastPrinted>1601-01-01T00:00:00.0000000Z</lastPrinted>
  <dcterms:created xsi:type="dcterms:W3CDTF">2025-06-17T09:35:00.0000000Z</dcterms:created>
  <dcterms:modified xsi:type="dcterms:W3CDTF">2025-06-17T09:37:48.3098468Z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ontentTypeId">
    <vt:lpwstr>0x0101002846F5E3C5062042BDA8EF8230CDCA9B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rder">
    <vt:r8>577200</vt:r8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